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7"/>
        <w:ind w:firstLine="72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ПОЯСНИТЕЛЬНАЯ ЗАПИСКА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pStyle w:val="887"/>
        <w:ind w:firstLine="720"/>
        <w:jc w:val="center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к отчету об исполнении консолидированного бюджета</w:t>
      </w: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</w:r>
      <w:r/>
    </w:p>
    <w:p>
      <w:pPr>
        <w:pStyle w:val="887"/>
        <w:ind w:firstLine="72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Саратовской области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на 1 января 2026 года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pStyle w:val="887"/>
        <w:ind w:firstLine="720"/>
        <w:jc w:val="center"/>
        <w:rPr>
          <w:rFonts w:ascii="PT Astra Serif" w:hAnsi="PT Astra Serif" w:cs="PT Astra Serif"/>
          <w:sz w:val="28"/>
          <w:szCs w:val="28"/>
          <w:highlight w:val="cyan"/>
        </w:rPr>
      </w:pPr>
      <w:r>
        <w:rPr>
          <w:rFonts w:ascii="PT Astra Serif" w:hAnsi="PT Astra Serif" w:cs="PT Astra Serif"/>
          <w:sz w:val="28"/>
          <w:szCs w:val="28"/>
          <w:highlight w:val="cyan"/>
        </w:rPr>
      </w:r>
      <w:r>
        <w:rPr>
          <w:rFonts w:ascii="PT Astra Serif" w:hAnsi="PT Astra Serif" w:cs="PT Astra Serif"/>
          <w:sz w:val="28"/>
          <w:szCs w:val="28"/>
          <w:highlight w:val="cyan"/>
        </w:rPr>
      </w:r>
      <w:r/>
    </w:p>
    <w:tbl>
      <w:tblPr>
        <w:tblW w:w="9411" w:type="dxa"/>
        <w:tblInd w:w="91" w:type="dxa"/>
        <w:tblLook w:val="04A0" w:firstRow="1" w:lastRow="0" w:firstColumn="1" w:lastColumn="0" w:noHBand="0" w:noVBand="1"/>
      </w:tblPr>
      <w:tblGrid>
        <w:gridCol w:w="2756"/>
        <w:gridCol w:w="3415"/>
        <w:gridCol w:w="1873"/>
        <w:gridCol w:w="1367"/>
      </w:tblGrid>
      <w:tr>
        <w:trPr>
          <w:trHeight w:val="31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1873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КОДЫ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22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Форма по ОКУД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0503360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26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Дата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  <w:t xml:space="preserve">01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.01.20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  <w:t xml:space="preserve">2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  <w:t xml:space="preserve">6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37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по ОКПО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22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Наименование финансового органа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Министерство финансов Саратовской области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Глава по БК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29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Наименование бюджета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Консолидированный бюджет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по ОКТМО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63701000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298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71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Периодичность: годовая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298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71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Единица измерения: руб.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center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по ОКЕИ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383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</w:tr>
    </w:tbl>
    <w:p>
      <w:pPr>
        <w:jc w:val="center"/>
        <w:rPr>
          <w:rFonts w:ascii="PT Astra Serif" w:hAnsi="PT Astra Serif" w:cs="PT Astra Serif"/>
          <w:b/>
          <w:bCs/>
          <w:sz w:val="28"/>
          <w:szCs w:val="28"/>
          <w:highlight w:val="cyan"/>
        </w:rPr>
      </w:pPr>
      <w:r>
        <w:rPr>
          <w:rFonts w:ascii="PT Astra Serif" w:hAnsi="PT Astra Serif" w:cs="PT Astra Serif"/>
          <w:b/>
          <w:bCs/>
          <w:sz w:val="28"/>
          <w:szCs w:val="28"/>
          <w:highlight w:val="cyan"/>
        </w:rPr>
      </w:r>
      <w:r>
        <w:rPr>
          <w:rFonts w:ascii="PT Astra Serif" w:hAnsi="PT Astra Serif" w:cs="PT Astra Serif"/>
          <w:b/>
          <w:bCs/>
          <w:sz w:val="28"/>
          <w:szCs w:val="28"/>
          <w:highlight w:val="cyan"/>
        </w:rPr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sz w:val="28"/>
          <w:szCs w:val="28"/>
          <w:highlight w:val="none"/>
        </w:rPr>
      </w:r>
      <w:r>
        <w:rPr>
          <w:rFonts w:ascii="PT Astra Serif" w:hAnsi="PT Astra Serif" w:cs="PT Astra Serif"/>
          <w:b/>
          <w:sz w:val="28"/>
          <w:szCs w:val="28"/>
          <w:highlight w:val="none"/>
        </w:rPr>
      </w:r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  <w:highlight w:val="none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Раздел 1 «Организационная структура субъекта бюджетной отчетности»</w:t>
      </w:r>
      <w:r>
        <w:rPr>
          <w:rFonts w:ascii="PT Astra Serif" w:hAnsi="PT Astra Serif" w:cs="PT Astra Serif"/>
          <w:b/>
          <w:bCs/>
          <w:sz w:val="28"/>
          <w:szCs w:val="28"/>
          <w:highlight w:val="white"/>
        </w:rPr>
      </w:r>
      <w:r/>
    </w:p>
    <w:p>
      <w:pPr>
        <w:ind w:firstLine="720"/>
        <w:jc w:val="center"/>
        <w:spacing w:line="245" w:lineRule="auto"/>
        <w:rPr>
          <w:rFonts w:ascii="PT Astra Serif" w:hAnsi="PT Astra Serif" w:cs="PT Astra Serif"/>
          <w:b/>
          <w:bCs/>
          <w:sz w:val="20"/>
          <w:szCs w:val="20"/>
          <w:highlight w:val="white"/>
        </w:rPr>
      </w:pPr>
      <w:r>
        <w:rPr>
          <w:rFonts w:ascii="PT Astra Serif" w:hAnsi="PT Astra Serif" w:cs="PT Astra Serif"/>
          <w:b/>
          <w:bCs/>
          <w:sz w:val="20"/>
          <w:szCs w:val="20"/>
          <w:highlight w:val="whit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white"/>
        </w:rPr>
      </w:r>
      <w:r/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консолидированного бюджета Саратовской области.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Годовая бюджетная отчетность за 2025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год составлена на основании соответствующей бюджетной отчетности 44 главных распоряди</w:t>
      </w:r>
      <w:bookmarkStart w:id="0" w:name="undefined"/>
      <w:r>
        <w:rPr>
          <w:rFonts w:ascii="PT Astra Serif" w:hAnsi="PT Astra Serif" w:cs="PT Astra Serif"/>
          <w:sz w:val="28"/>
          <w:szCs w:val="28"/>
          <w:highlight w:val="none"/>
        </w:rPr>
      </w:r>
      <w:bookmarkEnd w:id="0"/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телей средств областного бюджета, консолидированной отчетности финансовых органов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37 муниципальных районов области, отчетности финансовых органов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3-х городских округов области, 1-го муниципального округа области, Территориального фонда обязательного медицинского страхования области и 6 федеральных администраторов поступлений областного и местных бюджетов.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состоянию на 1 января 202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на территории области функционировало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984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участников бюджетного процесса 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203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9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областных и муниципальных бюджетных и автономных учреждений,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78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унитарных предприятий, в том числе 4 государственных и 74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муниципальных унитарных предприятий.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В течение 2025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за счет проводимых мер по оптимизаци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и сети учреждений бюджетной сферы общее количество бюджетных и автономных учреждений сократилось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30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единиц. Общее число участников бюджетного процесса увеличилось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единицы. Общее число государственных (муниципальных) унитарных предприятий сократил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ось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13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единиц.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-426"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состоянию на 1 января 2026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года на территории области функционировало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989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участников бюджетного процесса области и органов местного самоуправления 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2009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бюджетных и автономных областных и муниципальных учреждений,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65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унитарных предприятия, в том числе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государственных 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62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муниципальных унитарных предприятия.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0"/>
          <w:szCs w:val="20"/>
          <w:highlight w:val="white"/>
        </w:rPr>
      </w:pPr>
      <w:r>
        <w:rPr>
          <w:rFonts w:ascii="PT Astra Serif" w:hAnsi="PT Astra Serif" w:cs="PT Astra Serif"/>
          <w:b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white"/>
        </w:rPr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  <w:highlight w:val="none"/>
        </w:rPr>
      </w:pPr>
      <w:r>
        <w:rPr>
          <w:rFonts w:ascii="PT Astra Serif" w:hAnsi="PT Astra Serif" w:cs="PT Astra Serif"/>
          <w:b/>
          <w:sz w:val="28"/>
          <w:szCs w:val="28"/>
          <w:highlight w:val="none"/>
        </w:rPr>
      </w:r>
      <w:r>
        <w:rPr>
          <w:rFonts w:ascii="PT Astra Serif" w:hAnsi="PT Astra Serif" w:cs="PT Astra Serif"/>
          <w:b/>
          <w:sz w:val="28"/>
          <w:szCs w:val="28"/>
          <w:highlight w:val="none"/>
        </w:rPr>
      </w:r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  <w:highlight w:val="none"/>
        </w:rPr>
      </w:pPr>
      <w:r>
        <w:rPr>
          <w:rFonts w:ascii="PT Astra Serif" w:hAnsi="PT Astra Serif" w:cs="PT Astra Serif"/>
          <w:b/>
          <w:sz w:val="28"/>
          <w:szCs w:val="28"/>
          <w:highlight w:val="none"/>
        </w:rPr>
      </w:r>
      <w:r>
        <w:rPr>
          <w:rFonts w:ascii="PT Astra Serif" w:hAnsi="PT Astra Serif" w:cs="PT Astra Serif"/>
          <w:b/>
          <w:sz w:val="28"/>
          <w:szCs w:val="28"/>
          <w:highlight w:val="none"/>
        </w:rPr>
      </w:r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  <w:highlight w:val="none"/>
        </w:rPr>
      </w:pPr>
      <w:r>
        <w:rPr>
          <w:rFonts w:ascii="PT Astra Serif" w:hAnsi="PT Astra Serif" w:cs="PT Astra Serif"/>
          <w:b/>
          <w:sz w:val="28"/>
          <w:szCs w:val="28"/>
          <w:highlight w:val="none"/>
        </w:rPr>
        <w:t xml:space="preserve">Раздел 2 «Результаты деятельности субъекта бюджетной отчетности»</w:t>
      </w:r>
      <w:r>
        <w:rPr>
          <w:rFonts w:ascii="PT Astra Serif" w:hAnsi="PT Astra Serif" w:cs="PT Astra Serif"/>
          <w:b/>
          <w:bCs/>
          <w:sz w:val="28"/>
          <w:szCs w:val="28"/>
          <w:highlight w:val="none"/>
        </w:rPr>
      </w:r>
      <w:r>
        <w:rPr>
          <w:highlight w:val="none"/>
        </w:rPr>
      </w:r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0"/>
          <w:szCs w:val="20"/>
          <w:highlight w:val="none"/>
        </w:rPr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highlight w:val="none"/>
        </w:rPr>
      </w:r>
    </w:p>
    <w:p>
      <w:pPr>
        <w:ind w:firstLine="700"/>
        <w:jc w:val="both"/>
        <w:spacing w:line="245" w:lineRule="auto"/>
        <w:shd w:val="clear" w:color="auto" w:fill="ffffff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Формирование бухгалтерской отчетности 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существляется в соответствии с приказами Министерства финансов Российской Федерации от 28 декабря 2010 года № 191н «Об утверждении Инструкции о порядке составления и представления годовой, квартальной и месячной отчетности об исполнении бюджетов бюджетной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системы Российской Федерации», от 25 марта 2011 года </w:t>
      </w:r>
      <w:r>
        <w:rPr>
          <w:rFonts w:ascii="PT Astra Serif" w:hAnsi="PT Astra Serif" w:cs="PT Astra Serif"/>
          <w:sz w:val="28"/>
          <w:szCs w:val="28"/>
          <w:highlight w:val="none"/>
        </w:rPr>
        <w:br/>
        <w:t xml:space="preserve">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учреждений», действующими федер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альными стандартами.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pacing w:val="-6"/>
          <w:sz w:val="28"/>
          <w:szCs w:val="28"/>
          <w:highlight w:val="non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В целях повышения эффективности расходования бюджетных средств субъектами бюджетной отчетности приняты распорядительные документы по применению энергосберегающей технологии (установка счетчиков воды и тепла), установлению лимитов на ус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луги сотовой связи, введению нормативов при обеспечении канцелярскими принадлежностями и основными средствами, осуществлению контроля за ведением междугородных переговоров сотрудников и т.д.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pacing w:val="-6"/>
          <w:sz w:val="20"/>
          <w:szCs w:val="20"/>
          <w:highlight w:val="non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</w:r>
      <w:r>
        <w:rPr>
          <w:rFonts w:ascii="PT Astra Serif" w:hAnsi="PT Astra Serif" w:cs="PT Astra Serif"/>
          <w:spacing w:val="-6"/>
          <w:sz w:val="20"/>
          <w:szCs w:val="20"/>
          <w:highlight w:val="none"/>
        </w:rPr>
      </w:r>
      <w:r>
        <w:rPr>
          <w:highlight w:val="none"/>
        </w:rPr>
      </w:r>
    </w:p>
    <w:p>
      <w:pPr>
        <w:jc w:val="center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Раздел 3 «Анализ отчета об исполнении бюджета субъектом бюджетно</w:t>
      </w: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й отчетности» 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0"/>
          <w:szCs w:val="20"/>
          <w:highlight w:val="white"/>
        </w:rPr>
      </w:pPr>
      <w:r>
        <w:rPr>
          <w:rFonts w:ascii="PT Astra Serif" w:hAnsi="PT Astra Serif" w:cs="PT Astra Serif"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white"/>
        </w:rPr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итогам 2025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объем налоговых и неналоговых доходов консолидированного бюджета области (без учета Территориального фонда обязательного медицинского страхования Саратовской области (далее – ТФОМС) и денежных средств учреждения в пути) составил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164 292 082,5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рублей и от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носительно 2024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сократился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1 770 085,8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рублей, или на 1,1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%. Уточненные бюджетные назначения исполнены на 99,8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%.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trike w:val="0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Объем налога на прибыль организаций составил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31 755 125,6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тыс. рублей, за счет налога обеспечено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19,3% общего объема налоговых и неналог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овых доходов бюджета, что на 6,6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процентных пункта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ниже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 данного показателя за 2024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 год (25,9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%).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Относительно факта за 2024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 год поступления по налогу на прибыль организаций сократились на 11 200 578,5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 тыс. рублей, или на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26,1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%.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Отставание сложилось по налогоплательщикам, осуществляющим деятельность в сфере строительства (крупным застройщикам) — на 8 329 044,9 тыс. рублей,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 обрабатывающих производствах – на 2 182 965,6 тыс. рублей (или 17,8%)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финансовой и страховой деятельности – на 1 180 826,4 тыс. р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ублей (или в 1,7 раза), торговле и ремонте автотранспортных средств –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на 537 274,8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тыс.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рублей (или 11,1%),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по добывающим компаниям – на 437 689,1 тыс. рублей (или 25,3%).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 w:cs="PT Astra Serif"/>
          <w:sz w:val="28"/>
          <w:szCs w:val="28"/>
          <w:highlight w:val="none"/>
          <w14:ligatures w14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Вместе с тем выросли поступления в строительной отрасли на 831 870,7 тыс. рублей (или в 1,4 раза)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электроэнергетике – на 660 057,0 тыс. рублей (или в 1,3 раза),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 сфере транспортировки и хранения – на 262 938,1 тыс. рублей (в 1,4 раза),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операциям с недвижимым имуще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вом – на 230 792,9 тыс. рублей (в 1,5 раза),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 области информации и связи – на 169 830,0 тыс. рублей (в 1,5 раза).</w:t>
      </w:r>
      <w:r>
        <w:rPr>
          <w:rFonts w:ascii="PT Astra Serif" w:hAnsi="PT Astra Serif" w:cs="PT Astra Serif"/>
          <w:sz w:val="28"/>
          <w:szCs w:val="28"/>
          <w:highlight w:val="none"/>
          <w14:ligatures w14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основному для консолидированного бюджета налогу на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доходы физических лиц поступление составило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71 942 526,0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тыс. рублей, увеличение относительно 2024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на 8 070 287,0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тыс. рублей, или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12,6%. Структурная доля налог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 в общем объеме налоговых и неналоговых доходов бюджета составила </w:t>
      </w:r>
      <w:r>
        <w:rPr>
          <w:rFonts w:ascii="PT Astra Serif" w:hAnsi="PT Astra Serif" w:cs="PT Astra Serif"/>
          <w:strike w:val="0"/>
          <w:sz w:val="28"/>
          <w:szCs w:val="28"/>
          <w:highlight w:val="none"/>
        </w:rPr>
        <w:t xml:space="preserve">43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,8%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5,3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процентн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ых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пункта выше данного показателя за 2024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(38,5%)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Рост налога обеспечен за счет увеличения фонда оплаты труда.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Доходы от акцизов составили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14 303 531,4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рублей, со снижением на 13,8% к прошлому году, в том числе поступления по акцизам на нефтепродукты сократились на 18,5% в связи с уменьшением с 1 января 2025 года норматива отчислений, на алкогольную продукцию, наоборот, возросли на 11,9%.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специальным налоговым режимам в целом поступило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15 463 407,8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тыс. рублей,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%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ч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л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й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л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г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б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ло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ж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я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– в 1,9 раза, по налогу на профессиональный доход – в 1,6 раза, по единому сельскохозяйственному налогу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– в 1,3 раза, по упрощенной системе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налогообложения – на 4,1%.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Поступление по налогу на имущество орган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изаций составило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11 105 710,0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тыс. рублей, что на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263 850,6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тыс. рублей, или 2,4%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выше уровня 2024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года. Вклад налога в общий объем налоговых и неналоговых доходов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составил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6,8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%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, что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на 0,3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процентных пункта выше данного показателя за 2024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год.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Объем поступления транспортного налога, зачисляемого в полном объеме в местные бюджеты, исполнен в сумме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3 213 828,8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 w:eastAsia="PT Astra Serif" w:cs="PT Astra Serif"/>
          <w:sz w:val="28"/>
          <w:szCs w:val="28"/>
          <w:highlight w:val="none"/>
          <w:lang w:val="en-US"/>
        </w:rPr>
        <w:t xml:space="preserve"> 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рублей, на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90 043,1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тыс.</w:t>
      </w:r>
      <w:r>
        <w:rPr>
          <w:rFonts w:ascii="PT Astra Serif" w:hAnsi="PT Astra Serif" w:eastAsia="PT Astra Serif" w:cs="PT Astra Serif"/>
          <w:sz w:val="28"/>
          <w:szCs w:val="28"/>
          <w:highlight w:val="none"/>
          <w:lang w:val="en-US"/>
        </w:rPr>
        <w:t xml:space="preserve"> 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рублей, или на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2,7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% меньше чем в 2024 году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С положительной динамикой сложилось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поступление местных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налогов. Налог на имущество физических лиц увеличился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относительно 2024 года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654 192,6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рублей, или на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35,8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%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, и составил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2 480 212,6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 w:eastAsia="PT Astra Serif" w:cs="PT Astra Serif"/>
          <w:sz w:val="28"/>
          <w:szCs w:val="28"/>
          <w:highlight w:val="none"/>
          <w:lang w:val="en-US"/>
        </w:rPr>
        <w:t xml:space="preserve"> 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рублей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. Доходы от земельного налога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возросли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на 168 062,6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тыс. рублей, или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на 12,5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%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, составив на конец отчетного периода 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1 514 686,1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тыс.</w:t>
      </w:r>
      <w:r>
        <w:rPr>
          <w:rFonts w:ascii="PT Astra Serif" w:hAnsi="PT Astra Serif" w:eastAsia="PT Astra Serif" w:cs="PT Astra Serif"/>
          <w:sz w:val="28"/>
          <w:szCs w:val="28"/>
          <w:highlight w:val="none"/>
          <w:lang w:val="en-US"/>
        </w:rPr>
        <w:t xml:space="preserve"> 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рублей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С положительной динамикой к 2024 году сложилось поступление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налог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 на добычу полезных ископаемых, рост составил 49 472,4 тыс.</w:t>
      </w:r>
      <w:r>
        <w:rPr>
          <w:rFonts w:ascii="PT Astra Serif" w:hAnsi="PT Astra Serif" w:cs="PT Astra Serif"/>
          <w:sz w:val="28"/>
          <w:szCs w:val="28"/>
          <w:highlight w:val="none"/>
          <w:lang w:val="en-US"/>
        </w:rPr>
        <w:t xml:space="preserve"> 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рублей, или 21,1%, поступление налога по итогам 2025 года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составило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284 283,0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Объем неналоговых доходов составил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10 440 175,4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рублей,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216 309,5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</w:t>
      </w:r>
      <w:r>
        <w:rPr>
          <w:rFonts w:ascii="PT Astra Serif" w:hAnsi="PT Astra Serif" w:cs="PT Astra Serif"/>
          <w:sz w:val="28"/>
          <w:szCs w:val="28"/>
          <w:highlight w:val="none"/>
          <w:lang w:val="en-US"/>
        </w:rPr>
        <w:t xml:space="preserve"> 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рублей, или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2,1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%, выше уровня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 достигнутого в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2024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у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Основной прирост по доходам от штрафов,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санкци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й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 возмещени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я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ущерба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– на 27,5%, от использования имущества - 18,3%. В то же время доходы 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 оказания платных услуг и компенсации затрат государства сократились на 32,9%, от продажи материальных и нематериальных активов – на 1,2%, административных платежей и сборов – на 1,0%. От операций по управлению остатками на едином счете бюджета поступило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1 855 086,4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тыс. рублей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ч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4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ра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з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, или на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506 605,6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тыс. рублей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больше показателя 2024 года.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color w:val="ff0000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Безвозмездные поступления за 2025 год составили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br/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62 334 156,4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тыс. рублей, что выше уровня 2024 года на 3 037 308,1 тыс. рублей, или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на 5,1%,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 том числе из федерального бюджета поступило 58 114 147,5 тыс. руб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лей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ff0000"/>
          <w:sz w:val="28"/>
          <w:szCs w:val="28"/>
          <w:highlight w:val="none"/>
        </w:rPr>
      </w:r>
      <w:r>
        <w:rPr>
          <w:rFonts w:ascii="PT Astra Serif" w:hAnsi="PT Astra Serif" w:cs="PT Astra Serif"/>
          <w:color w:val="ff0000"/>
          <w:sz w:val="28"/>
          <w:szCs w:val="28"/>
          <w:highlight w:val="none"/>
        </w:rPr>
      </w:r>
    </w:p>
    <w:p>
      <w:pPr>
        <w:ind w:firstLine="709"/>
        <w:jc w:val="both"/>
        <w:spacing w:line="245" w:lineRule="auto"/>
        <w:rPr>
          <w:rFonts w:ascii="PT Astra Serif" w:hAnsi="PT Astra Serif" w:cs="PT Astra Serif"/>
          <w:color w:val="ff0000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ff0000"/>
          <w:sz w:val="28"/>
          <w:szCs w:val="28"/>
          <w:highlight w:val="none"/>
        </w:rPr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Доходы консолидированного бюджета от возврата бюджетами бюджетной системы Российской Федерации остатков субсидий, субвенций и иных межбюджетных трансфертов, имеющих целевое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назначение, прошлых лет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составили 317 129,3 тыс. рублей. Возвращено остатков субсидий, субвенций и иных межбюджетных трансфертов, имеющих целевое назначение, прошлых лет в сумме 305 285,8 тыс. рублей.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ff0000"/>
          <w:sz w:val="28"/>
          <w:szCs w:val="28"/>
          <w:highlight w:val="none"/>
        </w:rPr>
      </w:r>
      <w:r/>
    </w:p>
    <w:p>
      <w:pPr>
        <w:ind w:firstLine="720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Расходы консолидированного бюджета Саратовской области (без ТФОМС) исполнены в объеме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243 786 554,6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 или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96,3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% годовых назначений, с ростом против 2024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25 442 713,9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рублей, или на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11,7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%. Анализ исполнения консолидированного бюджета области по разделам и подразделам бюджетной классификации Российской Федерации представлен в следующей таблице: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Style w:val="892"/>
        <w:tblW w:w="10094" w:type="dxa"/>
        <w:tblInd w:w="-227" w:type="dxa"/>
        <w:tblLayout w:type="fixed"/>
        <w:tblLook w:val="04A0" w:firstRow="1" w:lastRow="0" w:firstColumn="1" w:lastColumn="0" w:noHBand="0" w:noVBand="1"/>
      </w:tblPr>
      <w:tblGrid>
        <w:gridCol w:w="3260"/>
        <w:gridCol w:w="1470"/>
        <w:gridCol w:w="1512"/>
        <w:gridCol w:w="1413"/>
        <w:gridCol w:w="1279"/>
        <w:gridCol w:w="1160"/>
      </w:tblGrid>
      <w:tr>
        <w:trPr>
          <w:trHeight w:val="209"/>
          <w:tblHeader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4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  (тыс. рублей)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Наименование показателя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2024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 год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2025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 год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rPr>
          <w:trHeight w:val="90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факт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уточненные бюджетные назначения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факт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% исполне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ния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% к 2024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 году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Расходы - всего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218 343 840,7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253 117 058,0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243 786 554,6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96,3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105,9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Общегосударственные вопросы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12 895 788,7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16 218 073,7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14 417 757,2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88,9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111,8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623 675,5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678 452,1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655 255,7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105,6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15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585 101,5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619 724,4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601 835,7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97,1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102,9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15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3 837 888,7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4 559 751,3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4 384 161,9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114,2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Судебная система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684 870,5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679 992,2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668 513,3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98,3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97,6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1 114 444,0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1 289 778,3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1 250 643,2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112,2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Обеспечение проведения выборов и референдумов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242 765,4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211 126,9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209 331,8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86,2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Международные отношения и международное сотрудничество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50 833,1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49 414,4 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-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4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Резервные фонды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753 499,9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Прикладные научные исследования в области общегосударственных вопросов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202,6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204,4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204,4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7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5 806 840,5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7 374 711,2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6 598 396,8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89,5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113,6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Национальная оборона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104 492,2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125 189,1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124 133,4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99,2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118,8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Мобилизационная и вневойсковая подготовка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103 777,1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124 556,6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123 538,7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99,2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119,0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Мобилизационная подготовка экономики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715,1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632,5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594,7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94,0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83,2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1 238 332,6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1 538 181,3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1 496 812,7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97,3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120,9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Органы юстиции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181 884,4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210 262,4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209 083 ,9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115,0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Гражданская оборона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187 341,0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166 440,4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160 198,6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96,2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85,5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Защита населения и территории от последствий чрезвычайных ситуаций природного и техногенного характера, пожарная безопасность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863 797,1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1 151 435,6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1 119 807,7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97,3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129,6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Миграционная политика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3 530,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7 800,0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6 020,0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170,5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национальной безопасности и правоохранительной деятельности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1 780,1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2 242,9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1 702,5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75,9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95,6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Национальная экономика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53 250 835,5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53 747 719,6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51 382 314,5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95,6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96,5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Общеэкономические вопросы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827 405,7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517 306,8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505 906,4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97,8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61,1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Топливно-энергетический комплекс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30 785,3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99 500,0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99 372,5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322,8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Сельское хозяйство и рыболовство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5 592 931,9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3 326 354,0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3 279 233,1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98,6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58,6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Водное хозяйство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253 776,7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298 180,4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293 914,0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98,6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115,8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Лесное хозяйство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400 168,1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445 232,9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444 264,9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111,0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Транспорт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10 583 340,7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12 485 663,3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11 905 211,4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95,4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112,5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Дорожное хозяйство (дорожные фонды)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26 921 696,5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29 594 836,1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28 138 751,6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95,1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104,5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Связь и информатика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165 638,7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185 721,7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184 244,6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111,2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Прикладные научные исследования в области национальной экономики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20 485,0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31 700,0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31 700,0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154,7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8 454 606,9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6 763 244,5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6 499 716,0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Жилищно-коммунальное хозяйство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16 770 243,9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19 711 591,5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18 877 103,7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95,8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112,6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Жилищное хозяйство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5 613 827,4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3 689 558,5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3 584 244,3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97,1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63,8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Коммунальное хозяйство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3 978 334,6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6 275 110,2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5 849 241,6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93,2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147,0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Благоустройство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5 039 932,6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7 257 855,3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7 034 892,0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139,6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2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жилищно-коммунального хозяйства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2 138 149,3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2 489 067,4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2 408 725,9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112,7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Охрана окружающей среды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145 080,7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885 876,0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864 473,3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97,6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595,9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Сбор, удаление отходов и очистка сточных вод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0,0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693 206,8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692 634,7 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99,9 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-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Охрана объектов растительного и животного мира и среды их обитания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51 560,7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47 854,4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46 115,7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96,4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89,4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Прикладные научные исследования в области охраны окружающей среды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150,0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150,0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150,0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охраны окружающей среды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93 420,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144 664,8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125 572,9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86,8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134,4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Образование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59 990 143,5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64 532 226,6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63 776 201,9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98,8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106,3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Дошкольное образование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12 083 524,3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13 789 002,0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13 608 878,1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112,6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Общее образование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34 116 733,1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36 799 622,8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36 402 637,3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98,9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106,7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Дополнительное образование детей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4 553 023,4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4 564 108,1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4 494 384,4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98,5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4 185 889,9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4 460 369,0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4 459 766,0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106,5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284 662,2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345 513,2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343 160,0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120,5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Молодежная политика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622 741,8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548 723,7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529 431,7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96,5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85,0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Прикладные научные исследования в области образования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100 000,0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80 000,0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80 000,0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80,0 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4 043 568,8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3 944 887,9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3 857 944,4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97,8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95,4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Культура, кинематография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7 734 528,1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9 166 288,5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8 295 181,9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107,2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Культура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6 761 410,8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7 985 1814,3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7 183 038,6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106,2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культуры, кинематографии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973 117,3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1 181 107,2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1 112 143,2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94,2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114,3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5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Здравоохранение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17 277 653,5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20 005 348,3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19 603 713,0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98,0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  <w:t xml:space="preserve">113,5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Стационарная медицинская помощь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9 764 935,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9 781 756,9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9 717 901,2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Амбулаторная помощь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889 323,4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1 977 588,4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1 775 282,3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89,8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199,6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Скорая медицинская помощь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537 646,9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580 652,1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576 318 9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Санаторно-оздоровительная помощь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121 456,0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131 901,1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131 901,1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108,6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Заготовка, переработка, хранение и обеспечение безопасности донорской крови и её компонентов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271 274,1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296 399,7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296 399,7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Санитарно-эпидемиологическое благополучие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9 772,7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10 494,1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10 494,1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107,4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здравоохранения 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5 683 244,6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7 226 556,0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7 095 415,7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98,2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124,8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Социальная политика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43 485 001,3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60 505 635,4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58 807 500,9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135,2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Пенсионное обеспечение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477 822,6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491 231,5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489 813,0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102,5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Социальное обслуживание населения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8 129 608,7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8 775 328,5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8 773 067,3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107,9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Социальное обеспечение населения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25 198 730,0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40 107 984,4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39 998 391,4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158,7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Охрана семьи и детства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7 892 265,1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8 623 320,9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7 164 341,5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83,1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90,8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Прикладные научные исследования в области социальной политики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3 500,0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2 000,0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2 000,0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57,1 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социальной политики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1 783 074,9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2 505 770,2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2 379 887,7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95,0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133,5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Физическая культура и спорт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4 325 977,6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4 730 810,2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4 693 960,5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99,2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108,5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Физическая культура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940 135,4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815 356,5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797 642,5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97,8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84,8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Массовый спорт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674 282,2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877 844,6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871 757,1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129,3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Спорт высших достижений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2 621 644,7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2 932 259,2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2 922 796,6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111,5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физической культуры и спорта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89 915,3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105 349,9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101 764,3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113,2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5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Средства массовой информации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269 096,2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326 006,4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320 071,1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98,2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118,9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Телевидение и радиовещание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55 535,2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83 296,6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83 295,6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150,0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5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Периодическая печать и издательства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112 418,9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130 317,2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125 175,3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96,1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111,3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Другие вопросы в области средств массовой информации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101 142,1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112 392,7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111 600,2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99,3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110,3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Обслуживание государственного (муниципального) долга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856 666,9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1 624 111,4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1 127 330,5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69,4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132,0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  <w:t xml:space="preserve">Обслуживание государственного (муниципального) внутреннего долга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856 666,9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1 624 111,4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1 127 330,5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69,4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132,0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</w:tbl>
    <w:p>
      <w:pPr>
        <w:spacing w:line="242" w:lineRule="auto"/>
        <w:rPr>
          <w:rFonts w:ascii="PT Astra Serif" w:hAnsi="PT Astra Serif" w:cs="PT Astra Serif"/>
          <w:sz w:val="20"/>
          <w:szCs w:val="20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0"/>
          <w:szCs w:val="20"/>
          <w:highlight w:val="none"/>
        </w:rPr>
      </w:r>
      <w:r>
        <w:rPr>
          <w:highlight w:val="none"/>
        </w:rPr>
      </w:r>
    </w:p>
    <w:p>
      <w:pPr>
        <w:ind w:firstLine="720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И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сп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олнение по обязательствам, финансовое обеспечение которых осуществлялось за счет субсидий, субвенций и иных межбюджетных трансфертов из федерального бюджета (далее – целевые федеральные средства), сложилось в сумме 35 905 306,6 тыс. рублей, или 99,99% от ф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актически поступивших целевых федеральных средств.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По состоянию на 1 января 2026 года неиспользованные остатки целевых федеральных средств составили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4 616,8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тыс. рублей, которые подлежат обязательному возврату в федеральный бюджет. 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0"/>
        <w:jc w:val="both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  <w:highlight w:val="none"/>
        </w:rPr>
        <w:t xml:space="preserve">По итогам </w:t>
      </w:r>
      <w:r>
        <w:rPr>
          <w:rFonts w:ascii="PT Astra Serif" w:hAnsi="PT Astra Serif"/>
          <w:sz w:val="28"/>
          <w:szCs w:val="28"/>
          <w:highlight w:val="none"/>
        </w:rPr>
        <w:t xml:space="preserve">2025 года объем государственного внутреннего долга области снизился на </w:t>
      </w:r>
      <w:r>
        <w:rPr>
          <w:rFonts w:ascii="PT Astra Serif" w:hAnsi="PT Astra Serif"/>
          <w:sz w:val="28"/>
          <w:szCs w:val="28"/>
          <w:highlight w:val="none"/>
        </w:rPr>
        <w:t xml:space="preserve">13</w:t>
      </w:r>
      <w:r>
        <w:rPr>
          <w:rFonts w:ascii="PT Astra Serif" w:hAnsi="PT Astra Serif"/>
          <w:sz w:val="28"/>
          <w:szCs w:val="28"/>
          <w:highlight w:val="none"/>
          <w:lang w:val="en-US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589</w:t>
      </w:r>
      <w:r>
        <w:rPr>
          <w:rFonts w:ascii="PT Astra Serif" w:hAnsi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0</w:t>
      </w:r>
      <w:r>
        <w:rPr>
          <w:rFonts w:ascii="PT Astra Serif" w:hAnsi="PT Astra Serif"/>
          <w:sz w:val="28"/>
          <w:szCs w:val="28"/>
          <w:highlight w:val="none"/>
        </w:rPr>
        <w:t xml:space="preserve">15,1</w:t>
      </w:r>
      <w:r>
        <w:rPr>
          <w:rFonts w:ascii="PT Astra Serif" w:hAnsi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/>
          <w:sz w:val="28"/>
          <w:szCs w:val="28"/>
          <w:highlight w:val="none"/>
        </w:rPr>
        <w:t xml:space="preserve"> рублей и составил </w:t>
      </w:r>
      <w:r>
        <w:rPr>
          <w:rFonts w:ascii="PT Astra Serif" w:hAnsi="PT Astra Serif"/>
          <w:sz w:val="28"/>
          <w:szCs w:val="28"/>
          <w:highlight w:val="none"/>
        </w:rPr>
        <w:t xml:space="preserve">44</w:t>
      </w:r>
      <w:r>
        <w:rPr>
          <w:rFonts w:ascii="PT Astra Serif" w:hAnsi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774</w:t>
      </w:r>
      <w:r>
        <w:rPr>
          <w:rFonts w:ascii="PT Astra Serif" w:hAnsi="PT Astra Serif"/>
          <w:sz w:val="28"/>
          <w:szCs w:val="28"/>
          <w:highlight w:val="none"/>
        </w:rPr>
        <w:t xml:space="preserve"> 154,0</w:t>
      </w:r>
      <w:r>
        <w:rPr>
          <w:rFonts w:ascii="PT Astra Serif" w:hAnsi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/>
          <w:sz w:val="28"/>
          <w:szCs w:val="28"/>
          <w:highlight w:val="none"/>
        </w:rPr>
        <w:t xml:space="preserve"> рублей, или 3</w:t>
      </w:r>
      <w:r>
        <w:rPr>
          <w:rFonts w:ascii="PT Astra Serif" w:hAnsi="PT Astra Serif"/>
          <w:sz w:val="28"/>
          <w:szCs w:val="28"/>
          <w:highlight w:val="none"/>
        </w:rPr>
        <w:t xml:space="preserve">5,6%</w:t>
      </w:r>
      <w:r>
        <w:rPr>
          <w:rFonts w:ascii="PT Astra Serif" w:hAnsi="PT Astra Serif"/>
          <w:sz w:val="28"/>
          <w:szCs w:val="28"/>
          <w:highlight w:val="none"/>
        </w:rPr>
        <w:t xml:space="preserve"> к налоговым и неналоговым доходам областного бюджета </w:t>
      </w:r>
      <w:r>
        <w:rPr>
          <w:rFonts w:ascii="PT Astra Serif" w:hAnsi="PT Astra Serif"/>
          <w:sz w:val="28"/>
          <w:szCs w:val="28"/>
          <w:highlight w:val="none"/>
        </w:rPr>
        <w:t xml:space="preserve">з</w:t>
      </w:r>
      <w:r>
        <w:rPr>
          <w:rFonts w:ascii="PT Astra Serif" w:hAnsi="PT Astra Serif"/>
          <w:sz w:val="28"/>
          <w:szCs w:val="28"/>
          <w:highlight w:val="none"/>
        </w:rPr>
        <w:t xml:space="preserve">а 2025 год. Структуру государственного долга области состав</w:t>
      </w:r>
      <w:r>
        <w:rPr>
          <w:rFonts w:ascii="PT Astra Serif" w:hAnsi="PT Astra Serif"/>
          <w:sz w:val="28"/>
          <w:szCs w:val="28"/>
          <w:highlight w:val="none"/>
        </w:rPr>
        <w:t xml:space="preserve">или</w:t>
      </w:r>
      <w:r>
        <w:rPr>
          <w:rFonts w:ascii="PT Astra Serif" w:hAnsi="PT Astra Serif"/>
          <w:sz w:val="28"/>
          <w:szCs w:val="28"/>
          <w:highlight w:val="none"/>
        </w:rPr>
        <w:t xml:space="preserve"> бюджетные кредиты, привлеченные из федерального бюджета со ставками 0,1 и 3% </w:t>
      </w:r>
      <w:r>
        <w:rPr>
          <w:rFonts w:ascii="PT Astra Serif" w:hAnsi="PT Astra Serif"/>
          <w:sz w:val="28"/>
          <w:szCs w:val="28"/>
          <w:highlight w:val="none"/>
        </w:rPr>
        <w:t xml:space="preserve">годовых</w:t>
      </w:r>
      <w:r>
        <w:rPr>
          <w:rFonts w:ascii="PT Astra Serif" w:hAnsi="PT Astra Serif"/>
          <w:sz w:val="28"/>
          <w:szCs w:val="28"/>
          <w:highlight w:val="none"/>
        </w:rPr>
        <w:t xml:space="preserve">. Задолженность по банковским кредитам отсутствует.</w:t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0"/>
        <w:jc w:val="both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  <w:highlight w:val="none"/>
        </w:rPr>
        <w:t xml:space="preserve">На изменение государственного долга области повлияло:</w:t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0"/>
        <w:jc w:val="both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  <w:highlight w:val="none"/>
        </w:rPr>
        <w:t xml:space="preserve">привлечение казначейских инфраструктурных кредитов в общей сумме </w:t>
      </w:r>
      <w:r>
        <w:rPr>
          <w:rFonts w:ascii="PT Astra Serif" w:hAnsi="PT Astra Serif"/>
          <w:sz w:val="28"/>
          <w:szCs w:val="28"/>
          <w:highlight w:val="none"/>
        </w:rPr>
        <w:t xml:space="preserve">2</w:t>
      </w:r>
      <w:r>
        <w:rPr>
          <w:rFonts w:ascii="PT Astra Serif" w:hAnsi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610</w:t>
      </w:r>
      <w:r>
        <w:rPr>
          <w:rFonts w:ascii="PT Astra Serif" w:hAnsi="PT Astra Serif"/>
          <w:sz w:val="28"/>
          <w:szCs w:val="28"/>
          <w:highlight w:val="none"/>
        </w:rPr>
        <w:t xml:space="preserve"> 147,0</w:t>
      </w:r>
      <w:r>
        <w:rPr>
          <w:rFonts w:ascii="PT Astra Serif" w:hAnsi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/>
          <w:sz w:val="28"/>
          <w:szCs w:val="28"/>
          <w:highlight w:val="none"/>
        </w:rPr>
        <w:t xml:space="preserve"> рублей, в том числе в целях финансирования проекта, предусматривающего комплексную застройку территории бывшего аэропорта Саратов «Центральный» и проекта по созданию подготовленной </w:t>
      </w:r>
      <w:r>
        <w:rPr>
          <w:rFonts w:ascii="PT Astra Serif" w:hAnsi="PT Astra Serif"/>
          <w:sz w:val="28"/>
          <w:szCs w:val="28"/>
          <w:highlight w:val="none"/>
        </w:rPr>
        <w:t xml:space="preserve">инфраструктуры для производственной деятельности инвесторов в Саратовской области «Столыпинский индустриальный парк» (вторая очередь) в сумме </w:t>
      </w:r>
      <w:r>
        <w:rPr>
          <w:rFonts w:ascii="PT Astra Serif" w:hAnsi="PT Astra Serif"/>
          <w:sz w:val="28"/>
          <w:szCs w:val="28"/>
          <w:highlight w:val="none"/>
        </w:rPr>
        <w:t xml:space="preserve">1</w:t>
      </w:r>
      <w:r>
        <w:rPr>
          <w:rFonts w:ascii="PT Astra Serif" w:hAnsi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727</w:t>
      </w:r>
      <w:r>
        <w:rPr>
          <w:rFonts w:ascii="PT Astra Serif" w:hAnsi="PT Astra Serif"/>
          <w:sz w:val="28"/>
          <w:szCs w:val="28"/>
          <w:highlight w:val="none"/>
        </w:rPr>
        <w:t xml:space="preserve"> 783,0 </w:t>
      </w:r>
      <w:r>
        <w:rPr>
          <w:rFonts w:ascii="PT Astra Serif" w:hAnsi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/>
          <w:sz w:val="28"/>
          <w:szCs w:val="28"/>
          <w:highlight w:val="none"/>
        </w:rPr>
        <w:t xml:space="preserve"> рублей, а также на реализацию</w:t>
      </w:r>
      <w:r>
        <w:rPr>
          <w:rFonts w:ascii="PT Astra Serif" w:hAnsi="PT Astra Serif"/>
          <w:sz w:val="28"/>
          <w:szCs w:val="28"/>
          <w:highlight w:val="none"/>
        </w:rPr>
        <w:t xml:space="preserve"> инфраструктурных проектов в сфере</w:t>
      </w:r>
      <w:r>
        <w:rPr>
          <w:rFonts w:ascii="PT Astra Serif" w:hAnsi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/>
          <w:sz w:val="28"/>
          <w:szCs w:val="28"/>
          <w:highlight w:val="none"/>
        </w:rPr>
        <w:t xml:space="preserve">жилищно-коммунального хозяйства</w:t>
      </w:r>
      <w:r>
        <w:rPr>
          <w:rFonts w:ascii="PT Astra Serif" w:hAnsi="PT Astra Serif"/>
          <w:sz w:val="28"/>
          <w:szCs w:val="28"/>
          <w:highlight w:val="none"/>
        </w:rPr>
        <w:t xml:space="preserve"> в общей сумме 882</w:t>
      </w:r>
      <w:r>
        <w:rPr>
          <w:rFonts w:ascii="PT Astra Serif" w:hAnsi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364</w:t>
      </w:r>
      <w:r>
        <w:rPr>
          <w:rFonts w:ascii="PT Astra Serif" w:hAnsi="PT Astra Serif"/>
          <w:sz w:val="28"/>
          <w:szCs w:val="28"/>
          <w:highlight w:val="none"/>
        </w:rPr>
        <w:t xml:space="preserve">,0</w:t>
      </w:r>
      <w:r>
        <w:rPr>
          <w:rFonts w:ascii="PT Astra Serif" w:hAnsi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/>
          <w:sz w:val="28"/>
          <w:szCs w:val="28"/>
          <w:highlight w:val="none"/>
        </w:rPr>
        <w:t xml:space="preserve"> рублей</w:t>
      </w:r>
      <w:r>
        <w:rPr>
          <w:rFonts w:ascii="PT Astra Serif" w:hAnsi="PT Astra Serif"/>
          <w:sz w:val="28"/>
          <w:szCs w:val="28"/>
          <w:highlight w:val="none"/>
        </w:rPr>
        <w:t xml:space="preserve">;</w:t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0"/>
        <w:jc w:val="both"/>
        <w:rPr>
          <w:rFonts w:ascii="PT Astra Serif" w:hAnsi="PT Astra Serif"/>
          <w:sz w:val="28"/>
          <w:szCs w:val="28"/>
          <w:highlight w:val="none"/>
        </w:rPr>
      </w:pPr>
      <w:r>
        <w:rPr>
          <w:rFonts w:ascii="PT Astra Serif" w:hAnsi="PT Astra Serif"/>
          <w:sz w:val="28"/>
          <w:szCs w:val="28"/>
          <w:highlight w:val="none"/>
        </w:rPr>
        <w:t xml:space="preserve">списание задолженности перед федеральным бюджетом по бюджетным кредитам в объеме фактически осуществленных расходов областного бюджета в 2024 году </w:t>
      </w:r>
      <w:r>
        <w:rPr>
          <w:rFonts w:ascii="PT Astra Serif" w:hAnsi="PT Astra Serif"/>
          <w:sz w:val="28"/>
          <w:szCs w:val="28"/>
          <w:highlight w:val="none"/>
        </w:rPr>
        <w:t xml:space="preserve">и в течение 8 месяцев </w:t>
      </w:r>
      <w:r>
        <w:rPr>
          <w:rFonts w:ascii="PT Astra Serif" w:hAnsi="PT Astra Serif"/>
          <w:sz w:val="28"/>
          <w:szCs w:val="28"/>
          <w:highlight w:val="none"/>
        </w:rPr>
        <w:t xml:space="preserve">2025</w:t>
      </w:r>
      <w:r>
        <w:rPr>
          <w:rFonts w:ascii="PT Astra Serif" w:hAnsi="PT Astra Serif"/>
          <w:sz w:val="28"/>
          <w:szCs w:val="28"/>
          <w:highlight w:val="none"/>
        </w:rPr>
        <w:t xml:space="preserve"> года</w:t>
      </w:r>
      <w:r>
        <w:rPr>
          <w:rFonts w:ascii="PT Astra Serif" w:hAnsi="PT Astra Serif"/>
          <w:sz w:val="28"/>
          <w:szCs w:val="28"/>
          <w:highlight w:val="none"/>
        </w:rPr>
        <w:t xml:space="preserve">, в</w:t>
      </w:r>
      <w:r>
        <w:rPr>
          <w:rFonts w:ascii="PT Astra Serif" w:hAnsi="PT Astra Serif"/>
          <w:sz w:val="28"/>
          <w:szCs w:val="28"/>
          <w:highlight w:val="none"/>
        </w:rPr>
        <w:t xml:space="preserve"> общей </w:t>
      </w:r>
      <w:r>
        <w:rPr>
          <w:rFonts w:ascii="PT Astra Serif" w:hAnsi="PT Astra Serif"/>
          <w:sz w:val="28"/>
          <w:szCs w:val="28"/>
          <w:highlight w:val="none"/>
        </w:rPr>
        <w:t xml:space="preserve">сумме 12</w:t>
      </w:r>
      <w:r>
        <w:rPr>
          <w:rFonts w:ascii="PT Astra Serif" w:hAnsi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359</w:t>
      </w:r>
      <w:r>
        <w:rPr>
          <w:rFonts w:ascii="PT Astra Serif" w:hAnsi="PT Astra Serif"/>
          <w:sz w:val="28"/>
          <w:szCs w:val="28"/>
          <w:highlight w:val="none"/>
        </w:rPr>
        <w:t xml:space="preserve"> 600,9 </w:t>
      </w:r>
      <w:r>
        <w:rPr>
          <w:rFonts w:ascii="PT Astra Serif" w:hAnsi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/>
          <w:sz w:val="28"/>
          <w:szCs w:val="28"/>
          <w:highlight w:val="none"/>
        </w:rPr>
        <w:t xml:space="preserve"> рублей;</w:t>
      </w:r>
      <w:r>
        <w:rPr>
          <w:rFonts w:ascii="PT Astra Serif" w:hAnsi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highlight w:val="none"/>
        </w:rPr>
      </w:pPr>
      <w:r>
        <w:rPr>
          <w:rFonts w:ascii="PT Astra Serif" w:hAnsi="PT Astra Serif"/>
          <w:sz w:val="28"/>
          <w:szCs w:val="28"/>
          <w:highlight w:val="none"/>
        </w:rPr>
        <w:t xml:space="preserve">погашение за счет собственных средств областного бюджета задолженности перед федеральным бюджетом в соответствии с графиками погашения, прилагаемыми к соглашениям, заключенным с Министерством финансов Российской Федерации и Федеральным </w:t>
      </w:r>
      <w:r>
        <w:rPr>
          <w:rFonts w:ascii="PT Astra Serif" w:hAnsi="PT Astra Serif"/>
          <w:sz w:val="28"/>
          <w:szCs w:val="28"/>
          <w:highlight w:val="none"/>
        </w:rPr>
        <w:t xml:space="preserve">к</w:t>
      </w:r>
      <w:r>
        <w:rPr>
          <w:rFonts w:ascii="PT Astra Serif" w:hAnsi="PT Astra Serif"/>
          <w:sz w:val="28"/>
          <w:szCs w:val="28"/>
          <w:highlight w:val="none"/>
        </w:rPr>
        <w:t xml:space="preserve">азначейством в общей сумме 3</w:t>
      </w:r>
      <w:r>
        <w:rPr>
          <w:rFonts w:ascii="PT Astra Serif" w:hAnsi="PT Astra Serif"/>
          <w:sz w:val="28"/>
          <w:szCs w:val="28"/>
          <w:highlight w:val="none"/>
        </w:rPr>
        <w:t xml:space="preserve"> </w:t>
      </w:r>
      <w:r>
        <w:rPr>
          <w:rFonts w:ascii="PT Astra Serif" w:hAnsi="PT Astra Serif"/>
          <w:sz w:val="28"/>
          <w:szCs w:val="28"/>
          <w:highlight w:val="none"/>
        </w:rPr>
        <w:t xml:space="preserve">839</w:t>
      </w:r>
      <w:r>
        <w:rPr>
          <w:rFonts w:ascii="PT Astra Serif" w:hAnsi="PT Astra Serif"/>
          <w:sz w:val="28"/>
          <w:szCs w:val="28"/>
          <w:highlight w:val="none"/>
        </w:rPr>
        <w:t xml:space="preserve"> 561,2 </w:t>
      </w:r>
      <w:r>
        <w:rPr>
          <w:rFonts w:ascii="PT Astra Serif" w:hAnsi="PT Astra Serif"/>
          <w:sz w:val="28"/>
          <w:szCs w:val="28"/>
          <w:highlight w:val="none"/>
        </w:rPr>
        <w:t xml:space="preserve">тыс.</w:t>
      </w:r>
      <w:r>
        <w:rPr>
          <w:rFonts w:ascii="PT Astra Serif" w:hAnsi="PT Astra Serif"/>
          <w:sz w:val="28"/>
          <w:szCs w:val="28"/>
          <w:highlight w:val="none"/>
        </w:rPr>
        <w:t xml:space="preserve"> рублей.</w:t>
      </w:r>
      <w:r>
        <w:rPr>
          <w:rFonts w:ascii="PT Astra Serif" w:hAnsi="PT Astra Serif" w:cs="PT Astra Serif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состоянию на 1 января 2026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задолженность Саратовской области перед федеральным бюджетом по бюджетным кредитам составила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–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44 774 154,0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рублей, в том числе: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реструктурированная задолженность по бюджетным кредитам, предоставленным на строительство, реконструкцию, капит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альный ремонт, ремонт и содержание автомобильных дорог общего пользования (за исключением автомобильных дорог федерального значения),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для частичного покрытия 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ефицита бюджета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для погашения бюджетных кредитов на пополнение остатков средств на счетах бюджетов субъектов Российской Федерации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 целях погашения долговых обязательств по рыночным заимствованиям области и муниципальных образований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– 36 429 148,1 тыс. рублей;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задолженность по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бюджетным кредитам, предоставленным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 на финансовое обеспече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ние реализации 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инфраструктурных проектов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инфраструктурны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 бюджетны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 кредит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ы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– 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4 032 001,7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 тыс. рублей;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задолженность по бюджетным кредитам, предоставленным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 на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  <w:t xml:space="preserve">финансовое обеспечение реализации инфраструктурных проектов (специальные казначейские кредиты) - 4 313 004,2 тыс. рублей.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В 2025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году из областного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бюджета муниципальным образованиям области предоставлены бюджетные кредиты для покрытия временных кассовых разрывов в сумме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456 640,0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 со сроком погашения в течение финансового года. Просроченных долговых обязательств муниципальных образований п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еред областным бюджетом не имеется.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Параметры государственного долга области и муниципального долга муниципальных образований области, а также расходов на их обслуживание, по состоянию на 31 декабря 202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года соответствуют требованиям, установленным Бюджет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ным кодексом Российской Федерации.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rPr>
          <w:rFonts w:ascii="PT Astra Serif" w:hAnsi="PT Astra Serif" w:cs="PT Astra Serif"/>
          <w:spacing w:val="-6"/>
          <w:sz w:val="20"/>
          <w:szCs w:val="20"/>
          <w:highlight w:val="non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none"/>
        </w:rPr>
      </w:r>
      <w:r>
        <w:rPr>
          <w:rFonts w:ascii="PT Astra Serif" w:hAnsi="PT Astra Serif" w:cs="PT Astra Serif"/>
          <w:spacing w:val="-6"/>
          <w:sz w:val="20"/>
          <w:szCs w:val="20"/>
          <w:highlight w:val="none"/>
        </w:rPr>
      </w:r>
      <w:r>
        <w:rPr>
          <w:highlight w:val="none"/>
        </w:rPr>
      </w:r>
    </w:p>
    <w:p>
      <w:pPr>
        <w:jc w:val="center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b/>
          <w:sz w:val="28"/>
          <w:szCs w:val="28"/>
          <w:highlight w:val="white"/>
        </w:rPr>
        <w:t xml:space="preserve">Раздел 4 «Анализ показателей бухгалтерской отчетности субъекта бюджетной отчетности»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ind w:left="0" w:right="0" w:firstLine="709"/>
        <w:jc w:val="center"/>
        <w:spacing w:line="242" w:lineRule="auto"/>
        <w:rPr>
          <w:rFonts w:ascii="PT Astra Serif" w:hAnsi="PT Astra Serif" w:cs="PT Astra Serif"/>
          <w:sz w:val="20"/>
          <w:szCs w:val="20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0"/>
          <w:szCs w:val="20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За 2025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год из федерального бюджета в государственную собственность Саратовской области и муниципальную собственность было передано и поставлено на учет имущество в сумме 3 776 669,2 тыс. рублей,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из бюджетов других субъектов Российской Федерации – 59 434,2 тыс. руб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лей,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передано из государственной собственности области и муниципальной в федеральную собственность имущество в сумме 145 139,1 тыс. рублей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в собственность других субъектов (в том числе муниципальным округам) - 94 981,7 тыс. рублей.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Подробные сведения о движении нефинансовых активов представле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ны в приложении по форме 0503368.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 течение 2025 года объем кредиторской задолженности по консолидированному бюджету об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ласти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увеличился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на 776 328,8 тыс. рублей и на 1 января 2026 год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составил 2 212 927,1 тыс. рублей (без учета операций по единому счету обл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астного бюджета и расчетам по доходам).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 w:eastAsiaTheme="minorHAnsi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Просроченная кредиторская задолженность увеличилась на 248 477,6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тыс. рублей с 595 329,0 тыс. рублей на 1 января 2025 года до 843 806,6 тыс. рублей </w:t>
        <w:br/>
        <w:t xml:space="preserve">на 1 января 2026 года, в том числе просроченная кредиторская задолженно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сть более 10 млн рублей сложилась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: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по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Вольскому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муниципальному району Саратовской области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у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МКУ «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Вольсктеплоэнерго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» перед ООО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«Газпром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межрегионгаз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Саратов» за газоснабжение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в сумме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51 137,7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 со сроком исполн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ения в 2023 году, в сумме 159 591,0 тыс. рублей со сроком исполнения в 2024 году, в сумме 323 404,8 тыс. рублей со сроком исполнения в 2025 году и перед ПАО «Саратовэнерго» за поставку электроэнергии в сумме 39 263,7 тыс рублей со сроком погашения в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2025 году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Марксовскому муниципальному району в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сумме 24 891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,8 тыс. рублей  перед ООО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«НМВ-ГРУПП»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за ремонт автодороги.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Просроченная кредиторская задолженность сложилась в результате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недопоступления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собственных доходов в местные бюджеты.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Объем дебиторской задолженности по консолидированному бюджету области на 1 января 2026 года составил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333 161 723,2 тыс. рублей.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Просроченная дебиторская задолженность с 1 января 2025 года увеличилась на 11 584,2 тыс. рублей и по состоянию на 1 января 2026 год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а составила 3 517 664,5 тыс. рублей, в том числе просроченная дебиторская задолженность более 10 млн рублей сложилась: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 сумме </w:t>
      </w:r>
      <w:r>
        <w:rPr>
          <w:rFonts w:ascii="PT Astra Serif" w:hAnsi="PT Astra Serif" w:cs="PT Astra Serif"/>
          <w:color w:val="000000"/>
          <w:sz w:val="28"/>
          <w:szCs w:val="28"/>
          <w:highlight w:val="none"/>
        </w:rPr>
        <w:t xml:space="preserve">32 150,5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тыс. рублей по министерству спорта Саратовской области в результате неисполнения обязательств Общественной организацией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Балаковского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района Саратовской области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«Волейбольный клуб «Протон-БАЭС» по представленным 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субсидиям и грантам на развитие на территории области отдельных видов спорта (спортивных дисциплин);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комитету обеспечения деятельности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ровых судей Саратовской области задолженность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задолженность физических лиц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административным штрафам по статье 20.25 «Уклонения от исполнения административного наказания» КОАП РФ в двойном размере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в сумме 69 645,7 тыс. рублей;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министерству дорожного хозяйства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Саратовской области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з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л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ж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ь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«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ж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я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и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№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»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у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7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тыс. рублей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з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нарушение сроков выполнения работ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государственному контракту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комитету реализации инвестиционных проектов в строительстве Саратовской области задолженность ООО «Саратовстройсервис»в сумме 52 696,4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тыс. рублей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за нарушение условий государственных контрактов; 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color w:val="000000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по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Балаковскому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муниципальному району задолженность физ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ических лиц по арен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дной плате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в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сумме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15 750,1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тыс. рублей и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за наем муниципальных жилых помещений в сумме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15 399,3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тыс. рублей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color w:val="000000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по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Балашовскому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муниципальному району задолженность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ООО «Инвестиционная сервисная компания»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в сумме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11 896,8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тыс.  рублей, задолженность физических лиц в сумме 91 131,3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тыс. рублей и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МУП Балашовского МР Саратовской области «Система теплоснабжения Балашовского района» в сумме 10 758,9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тыс. рублей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перед </w:t>
      </w:r>
      <w:r>
        <w:rPr>
          <w:rFonts w:ascii="PT Astra Serif" w:hAnsi="PT Astra Serif" w:cs="PT Astra Serif"/>
          <w:color w:val="000000"/>
          <w:sz w:val="28"/>
          <w:szCs w:val="28"/>
          <w:highlight w:val="none"/>
        </w:rPr>
        <w:t xml:space="preserve">МКУ</w:t>
      </w:r>
      <w:r>
        <w:rPr>
          <w:rFonts w:ascii="PT Astra Serif" w:hAnsi="PT Astra Serif" w:cs="PT Astra Serif"/>
          <w:color w:val="000000"/>
          <w:sz w:val="28"/>
          <w:szCs w:val="28"/>
          <w:highlight w:val="none"/>
        </w:rPr>
        <w:t xml:space="preserve"> муниципального образования г.  Балашов «Городское ЖКХ» (водоканал)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по платным услугам за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забор, распределение и очистку воды для питьевых и промышленных нужд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в сумме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63 195,9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тыс. рублей по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Вольскому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муниципальному району  по доходам за коммунальные услуг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и от физических лиц перед МКУ «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Вольсктеплоэнерго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»;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по Энгельсскому муниципальному району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задолженность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физического лица по исполнительному листу о взыскании компенсации нанесенного ущерба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 сумме 19 283,0 тыс. рублей;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по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 муниципальному образованию «Город Саратов»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: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в сумме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8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450,9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тыс.  рублей за несвоевременную оплату населением за наем муниципальных ж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илых помещений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в сумме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29 763,4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тыс. рублей задолженность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физических лиц потребителей коммунальных услуг;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территориальному фонду обязательного медицинского страхования области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в сумме 35 876,4 задолженность АО «Страховая компания «Согаз-Мед»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и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в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с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у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м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м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1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0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9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3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0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,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7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тыс.  рублей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задолженность ГУЗ «Областная детская инфекционная клиническая больница имени Н.Р. Иванова»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по результатам контроля за медицинскими организациями и применения штрафов к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ним за нарушения, выявленные при проведении контроля объемов, сроков, качества и условий предоставления медицинской помощи и по результатам проведения проверок за соблюдением законодательства об обязательном медицинском страховании в Российской Федерации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.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 w:eastAsiaTheme="minorHAnsi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Подробные сведения по дебито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рской и кредиторской задолженности представлены в приложении по форме 0503369.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 Сведениях об изменении остатков валюты баланса (ф. 0503373) отражены остатки по счетам, сформированные с учетом: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  <w:lang w:eastAsia="en-US"/>
        </w:rPr>
        <w:t xml:space="preserve">реорганизации (слияние, присоединение, разделение, выделение, </w:t>
      </w:r>
      <w:r>
        <w:rPr>
          <w:rFonts w:ascii="PT Astra Serif" w:hAnsi="PT Astra Serif" w:cs="PT Astra Serif" w:eastAsiaTheme="minorHAnsi"/>
          <w:sz w:val="28"/>
          <w:szCs w:val="28"/>
          <w:highlight w:val="none"/>
          <w:lang w:eastAsia="en-US"/>
        </w:rPr>
        <w:t xml:space="preserve">преобразование), ликвидации субъекта бюджетной отчетности, изменении типов государственных (муниципальных) учреждений на начало финансового года, изменение подведомственности государственных (муниципальных) учреждений;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  <w:lang w:eastAsia="en-US"/>
        </w:rPr>
        <w:t xml:space="preserve">исправлений ошибок прошлых лет;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пересчета показателей отчетности;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исправле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ний ошибок прошлых лет по результатам внешнего (внутреннего) государственного (муниципального) финансового контроля.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contextualSpacing w:val="0"/>
        <w:ind w:firstLine="540"/>
        <w:jc w:val="both"/>
        <w:spacing w:line="242" w:lineRule="auto"/>
        <w:rPr>
          <w:rFonts w:ascii="PT Astra Serif" w:hAnsi="PT Astra Serif" w:cs="PT Astra Serif"/>
          <w:strike w:val="0"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strike w:val="0"/>
          <w:sz w:val="28"/>
          <w:szCs w:val="28"/>
          <w:highlight w:val="none"/>
        </w:rPr>
      </w:r>
      <w:r>
        <w:rPr>
          <w:rFonts w:ascii="PT Astra Serif" w:hAnsi="PT Astra Serif" w:cs="PT Astra Serif"/>
          <w:strike w:val="0"/>
          <w:sz w:val="20"/>
          <w:szCs w:val="20"/>
          <w:highlight w:val="none"/>
        </w:rPr>
      </w:r>
      <w:r>
        <w:rPr>
          <w:highlight w:val="none"/>
        </w:rPr>
      </w:r>
    </w:p>
    <w:p>
      <w:pPr>
        <w:ind w:firstLine="540"/>
        <w:jc w:val="center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b/>
          <w:sz w:val="28"/>
          <w:szCs w:val="28"/>
          <w:highlight w:val="none"/>
        </w:rPr>
        <w:t xml:space="preserve">Раздел 5 «Прочие вопросы деятельности субъекта бюджетной отчетности»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540"/>
        <w:jc w:val="center"/>
        <w:spacing w:line="242" w:lineRule="auto"/>
        <w:rPr>
          <w:rFonts w:ascii="PT Astra Serif" w:hAnsi="PT Astra Serif" w:cs="PT Astra Serif"/>
          <w:sz w:val="20"/>
          <w:szCs w:val="20"/>
          <w:highlight w:val="none"/>
        </w:rPr>
      </w:pPr>
      <w:r>
        <w:rPr>
          <w:rFonts w:ascii="PT Astra Serif" w:hAnsi="PT Astra Serif" w:cs="PT Astra Serif"/>
          <w:sz w:val="20"/>
          <w:szCs w:val="20"/>
          <w:highlight w:val="none"/>
        </w:rPr>
      </w:r>
      <w:r>
        <w:rPr>
          <w:rFonts w:ascii="PT Astra Serif" w:hAnsi="PT Astra Serif" w:cs="PT Astra Serif"/>
          <w:sz w:val="20"/>
          <w:szCs w:val="20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Бухгалтерский учет осуществляется в соответствии с Федеральным законом от 6 декабря 2011 года № 402-ФЗ «О бухгалтерском учете», Бюджетным кодексом Российской Федерации, приказом Министер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ства финансов Российской Федерации о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т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1 декабря 2010 года № 157н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«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внебюджетными фондами, государственных академий наук, государственных (муниципальных) учреждений и Инструкции по его применению», с применением федеральных стандартов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Бухгалтерская отчетность состав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ляется в соответствии с требованиями прика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за Министерства финансов Российской Федерации от 28 декабря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br/>
        <w:t xml:space="preserve">2010 года № 191н «Об утверждении Инструкции о порядке составления и представления годовой, квартальной и месячной отчетности об исполнении бюджетов бюдже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тной системы Российской Федерации» и совместными письмами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Министерства финансов Российской Федерации от 23 января 2026 года № 02-07-08/4300 и Федерального казначейства № 07-04-05/02-1416</w:t>
        <w:br/>
        <w:t xml:space="preserve">«О дополнительных критериях по раскрытию информации при составлении и представлении годовой консолидированной бюджетной отчетн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ости, годовой</w:t>
        <w:br/>
        <w:t xml:space="preserve">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2025 год», Министерства финансов Российской Федерации от</w:t>
        <w:br/>
        <w:t xml:space="preserve">23 января 2026 года № 02-07-08/430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1 и Федерального казначейства</w:t>
        <w:br/>
        <w:t xml:space="preserve">№ 07-04-05/02-1418 «О дополнительных критериях по раскрытию информации при составлении и представлении годовой бюджетной отчетности, годовой консолидированной бухгалтерской отчетности государственных (муниципальных) бюджетных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и автономных учреждений финансовыми органами субъектов Российской Федерации и органами управления внебюджетными фондами Российской Федерации за 2025 год»,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М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инистерства финансов Российской Федерации от 29 декабря 2024 года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№ 02-06-06/120378 и Федерального казначейства № 07-04-05/02-35262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«О дополнительных критериях по раскрытию информации при составлении и пред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ставлении годовой консолидированной бюджетной отчетности, годовой консолидированной  бухгалтерской отчетности государственных бюджетных и автономных учреждений главными администраторами средств федерального бюджета за 2024 год», Министерства финансов Росси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йской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Федераци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и от 29 декабря 2024 года № 02-06-06/120377 и Федерального казначейства № 07-04-05/02-35263</w:t>
        <w:br/>
        <w:t xml:space="preserve">«О дополнительных критериях по раскрытию информации при составлении и представлении годовой бюджетной отчетности, годовой консолидированной бухгалтерской отчетности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государственных (муниципальных) бюджетных и автономных учреждений финансовыми органами субъектов Российс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кой Федерации и органами управления государственными внебюджетными фондами Российской Федерации за 2024 год».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20"/>
        <w:jc w:val="both"/>
        <w:spacing w:before="0" w:after="0"/>
        <w:shd w:val="clear" w:color="fcfcfc" w:fill="fcfcfc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Главным распорядителем средств бюджета Саратовской области приняты безвозмездно нефинансовые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активы от Федерального агентства по государственным резервам (глава 171) в общей сумме  14 329 798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рублей</w:t>
        <w:br/>
        <w:t xml:space="preserve">13 копеек, из них в сумме 1 243 125 рублей 72 копейки принято оборудование и производственный и хозяйственный инвентарь – отражено в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формах отчетности об исполнении консолидированного бюджета области по классификации сектора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государственного управления 195 «Безвозмездные неденежные поступления капитального характера от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сектора государственного управления и организаций государственного сектора».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В Справке по заключению счетов б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юджетного учета отчетного финансового года (ф. 0503110) (далее – Справка (ф. 0503110)) отражены показатели по начислению доходов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текущего финансового года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по номеру счета бюджетного учета: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- 1 401 10 191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в сумме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3 638 563 221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рубль 49 копеек - безвозмездные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поступления от сектора государственного управле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ния и органов государственного сектора;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- 1 401 10 195 в сумме 8 411 115 307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рублей 15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копеек -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безвозмездно полученные земельные участки, движимое и недвижимое имущество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от сектора государственного управления и органов государственного сектора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-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1 401 10 199 в сумме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9 711 445 038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рублей 99 копеек - неразграниченные земельные участки, оприходованный металлолом,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макулатура, ветошь, выморочное имущество,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а также иные нефинансовые активы, выявленные в результате проведения инвентаризации и принятые в казну согласно сведениям из реестра казны.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В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Справке (ф. 0503110)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по КОСГУ 273 «Чрезвычайные расходы по операциям с активами» отражены списание дебиторской задолженности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,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а также списание вложений в незавершенное строительство по решению уполномоченного органа и нефинансовых активов в результате гибели, по КОСГУ 173 «Чрезвычайные доходы от операций с активами» - списание дебиторской и кредиторской задолженности, по КОСГУ 13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6 «Доходы бюджета от возврата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дебиторской задолженности прошлых лет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отражены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начисления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поступивших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остатк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субсидии на выполнение муниципального задания в бюджет муниципального района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 решению учредителя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сложившиеся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 возврата дебиторской задолженности муниципальному бюджетному учреждению Социальным фондом России, а также начисление поступлений субсидии на выполнение государственного задания от государственных бюджетных и автономных учреждений  в областной бюджет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в случаях исполнения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решений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учредителей и органов государственного контроля при условии выполнения государственного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задания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Расхождения  показателей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Справки (ф. 0503110)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 Справки по заключению учреждением счетов бухгалтерского учета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отчетного финансового года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ф. 0503710)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д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–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7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сложились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1 656 824 рубля 00 копее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 в связи с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отражением в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Справке</w:t>
        <w:br/>
        <w:t xml:space="preserve">(ф. 0503710)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аналитической группе подвида доходов бюджета 194 «Безвозмездные межведомственные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поступления» коду счета </w:t>
        <w:br/>
        <w:t xml:space="preserve">0 401 10 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195 «Безвозмездные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 капитального характера от сектора государственного управления и организаций государственного сектора» поступления земельных участков на праве постоянного (бессрочного) пользования по их кадастровой стоимости на осн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овании постановления органа, уполномоченного на управление имуществом казны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в одностороннем порядке;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850"/>
        <w:jc w:val="both"/>
        <w:spacing w:line="240" w:lineRule="auto"/>
        <w:shd w:val="clear" w:color="fcfcfc" w:fill="fcfcfc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сумме 2 594 927 рублей 11 копеек в связи с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отражением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ке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7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по коду вида расходов 806 «Безвозмездн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ые межбюджетные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передачи» коду счета 0 401 20 251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«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Расходы на перечисления текущего характера другим бюджетам бюджетной системы Российской Федерации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операций по передаче прочих материальных запасов федеральным государственным казенным учреждениям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164 561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убль 00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ек и администрации муниципального округа другого субъекта Российской Федерации в сумме 2 800 000 рублей 00 копеек и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отражением в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</w:rPr>
        <w:t xml:space="preserve">Справке (ф. 0503110)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аналитической группе подвида доходов бюджета 197 «Безвозмездные межбюджетные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 от бюджетных (автономных) учреждений» коду счета 1 401 10 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191 «Безвозмездные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 текущего характера от сектора государственного управления и организаций государственного сектора» поступления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лекарственных препаратов и медицинских материалов от государственных бюджетных учреждений других субъектов Российской Федерации в сумме 369 633 рубля 89 копеек;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850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сумме 2 235 374 рубля 88 копеек в связи с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отражением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ке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7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о коду вида расходов 806 «Безвозмездн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ые межбюджетные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передачи» коду счета 0 401 20 25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4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«Расходы на перечисления капитального характера другим бюджетам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бюджетной системы Российской Федерации»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передачи непроизведенных активов, нежилых помещений, транспортных средств в сумме 1 671 940 рублей 50 копеек (остаточная стоимость) федеральным органам исполнительной власти и вложений в основные средства в сумме 112 960 рублей 00 копеек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администрации муниципального округа другого субъекта Российской Федерации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и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отражением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ке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 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нал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итической группе подвида доходов бюджета 197 «Безвозмездные межбюджетные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 от бюджетных (автономных) учреждений» коду счета 1 401 10 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195 «Безвозмездные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 капитального характера от сектора государственного управления и организаций государственного сектора» поступления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недвижимого имущества от федерального государственного бюджетного учреждения в сумме 4 020 275 рублей 38 копеек;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850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сумме 93 500 000 рублей 00 копеек в связи с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отражением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ке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коду вида расходов 807 «Безвозмездные межбюджетные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 передачи бюджетным (автономным)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учреждениям» коду счета</w:t>
        <w:br/>
        <w:t xml:space="preserve">1 401 20 251 «Расходы на перечисления текущего характера другим бюджетам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000000" w:themeColor="text1"/>
          <w:sz w:val="28"/>
          <w:szCs w:val="28"/>
          <w:highlight w:val="none"/>
        </w:rPr>
        <w:t xml:space="preserve">бюджетной системы Российской Федерации» передачи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вложений в материальные запасы федеральному государственному бюджетному учреждению;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0" w:firstLine="850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сумме 7 511 067 рублей 59 копеек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связи с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отражением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ке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7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аналитической группе подвида доходов бюджета 196 «Безвозмездные межбюджетные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поступления» коду счета </w:t>
        <w:br/>
        <w:t xml:space="preserve">0 401 10 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195 «Безвозмездные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неденежные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поступления капитального характера от сектора государственного управления и организаций государственного сектора» поступления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непроизведенных активов, оборудования и транспортных средств от федеральных органов исполнительной власти и федеральных казенных учреждений.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contextualSpacing w:val="0"/>
        <w:ind w:firstLine="709"/>
        <w:jc w:val="both"/>
        <w:spacing w:line="240" w:lineRule="auto"/>
        <w:shd w:val="clear" w:color="fcfcfc" w:fill="fcfcfc"/>
        <w:rPr>
          <w:rFonts w:ascii="PT Astra Serif" w:hAnsi="PT Astra Serif" w:cs="PT Astra Serif"/>
          <w:strike w:val="0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Сведениях о движении нефинансовых активов консолидированного бюджета 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ф. 0503368)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строке 560 «Вложения в объекты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государственной (муниципальной) казны» (счет 0 106 5X 000) отражены вложения в объекты имущества казны в общей сумме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2 794 213 258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рублей 68 копеек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на начало отчетного года и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2 912 581 354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рубля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08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копеек на конец отчетного периода.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Отрицательные показатели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Консолидированном отчете о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финансовых результатах деятельности 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0503321)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д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–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ч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))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сложились: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классификации сектора государственного управления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125 «Проценты по предоставленным заимствованиям»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а также по строке 9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 «обслуживание внутренних привлеченных заимствован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ий (в части процентов, пеней и штрафных санкций по полученным бюджетным кредитам)»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276 466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ей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46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копеек в связи с перерасчетом процентов по предоставленному бюджетному кредиту из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областного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бюджета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бюджету городского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округа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области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классификации сектора государственного управления 17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 «Доходы от выбытий активов» на разницу между принятием и выбытием нефинансовых активов;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классификации сектора государственного управления 173 «Чрезвычайные доходы от операций с активами» в связи с превышением пок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азателей списаний дебиторской задолженности по доходам над показателями по списанию кредиторской задолженности;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классификации сектора государственного управления 176 «Доходы от оценки активов и обязательств» в связи с уменьшением када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стровой стоимости земельных участков;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классификации сектора государственного управления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231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bookmarkStart w:id="1" w:name="undefined"/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bookmarkEnd w:id="1"/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Обслуживание внутреннего долга»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в связи с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рерасчетом процентов за пользование бюджетными кредитами, предоставленными министерством финансов области муниципальным образованиям и предоставленными финансовым органом муниципального района бюджету городского поселения, в связи с их досрочным погашением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 классификации сектора государственного управления 153 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Поступления текущего характера в бюджеты бюджетной системы Российской Федерации от бюджетных и автономных учреждений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в связи с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уменьшением начислений задолженности по расчетам между учредителем и подведомственным муниципальным  бюджетным учреждением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Начисленные расходы по перечислению другим бюджетам бюджетной системы Российской Федерации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ч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отраженные по строке 231 «Перечисления текущего характера другим бюджетам бюджетной си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стемы Российской Федерации» в графе 4 в сумме </w:t>
      </w:r>
      <w:r>
        <w:rPr>
          <w:rFonts w:ascii="PT Astra Serif" w:hAnsi="PT Astra Serif" w:eastAsia="SansSerif" w:cs="PT Astra Serif"/>
          <w:b w:val="0"/>
          <w:i w:val="0"/>
          <w:strike w:val="0"/>
          <w:color w:val="000000" w:themeColor="text1"/>
          <w:sz w:val="28"/>
          <w:szCs w:val="28"/>
          <w:highlight w:val="none"/>
          <w:u w:val="none"/>
          <w:vertAlign w:val="baseline"/>
        </w:rPr>
        <w:t xml:space="preserve">4 101 489 223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я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11 копеек, не соответствуют показателям Справки по консолидированным расчетам </w:t>
        <w:br/>
        <w:t xml:space="preserve">(ф. 0503125) (далее – Справка (ф. 0503125)) по счету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1 401 20 251 «Расходы на перечисления другим бюджетам бюджетной системы Российской Федер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ации»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4 000 539 597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80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на сумму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100 949 625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йка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в том числе: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сумме 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7 168 801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ь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йка в связи с заключением договоров аренды на льготных условиях;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93 780 823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80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в том числе на стоимость переданных строительных материалов, мягкого инвентаря и прочих м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атериальных запасов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муниципальным бюджетным и автономным учреждениям Саратовской области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в сумме 229 771 рубль 52 копейки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горюче-смазочных материалов и прочих материальных запасов переданных государственному бюджет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ному учреждению области из бюджета территориального фонда обязательного медицинского страхования области в сумме 51 052 рубля 28 копеек,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ожений в материальные запасы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переданных федеральн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ому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государственн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ому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бюджетн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ому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учреждени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ю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Российской Федерации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из бюджета области в сумме 93 500 000 рублей 00 копеек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after="0" w:line="283" w:lineRule="atLeast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Финансовый результат по счетам Баланса исполнения консолидированного бюджета субъекта Российской Федерации и бюджета территориального государственного внебюджетного фонда (ф. 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0503320) (далее – Баланс</w:t>
        <w:br/>
        <w:t xml:space="preserve">(ф. 0503320)) не соответствует идентичному показателю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ч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ф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3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 причине преобразования в течение финансового года муниципальных учреждений путем изменения их типа на сумму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2 756 136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рублей 35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копеек и государственных учреждений – на сумму 23 729 553 рубля 21 копейка,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соответствующие показателям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Справки (ф. 0503125)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 счету 1 304 06 000.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показатели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Баланса (ф. 0503320)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по строкам 250 «Дебиторская задолженность по доходам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(020500000, 020900000), всего», 510 «Доходы будущих периодов (040140000)» включаются начисленные доходы будущих периодов по предоставляемым в 2026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– 202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8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 гг. межбюджетным трансфертам, отраженные в графе 20 «суммы, подлежащие исключению в рамках консолидирован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ного бюджета субъекта РФ», из бюджета Саратовской области в бюджеты муниципальных образований области по счетам бюджетного учета</w:t>
        <w:br/>
        <w:t xml:space="preserve">1 205 51 000 «Расчеты по поступлениям текущего характера от других бюджетов бюджетной системы Российской Федерации»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125 905 493 608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рублей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10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1 205 61 000 «Расчеты по поступлениям капитального характера от других бюджетов бюджетной системы Российской Федерации» в сумме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2 539 034 682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60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1 401 49 151 «Доходы будущих периодов к признанию в очередные года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 поступлений текущего характера от других бюджетов бюджетной системы Российской Федерации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в су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125 905 493 608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рублей 10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1 401 49 161 «Доходы будущих периодов к признанию в очередные года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 поступлений капитального характера от других бюджетов бюджетной системы Российской Федерации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2 539 034 682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60 копе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; из бюджетов мун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иципальных районов области в бюджеты городских и сельских поселений области, из бюджетов городских и сельских поселений области в бюджеты муниципальных районов области по счетам бюджетного учета 1 205 51 000 «Расчеты по поступлениям текущего характера от д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ругих бюджетов бюджетной системы Российской Федерации»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4 482 373 885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69 копеек, 1 401 49 151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«Доходы будущих периодов к признанию в очередные года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 поступлений текущего характера от других бюджетов бюджетной системы Российской Федерации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4 482 373 885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69 копеек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Превышение показателей строки 271 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из них: долгосрочные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над строкой 270 «Расчеты по кредитам, займам (ссудам) (020700000), всего» на суммы 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7 396 392 453 рубля 04 копейки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 664 326 556 рублей 27 копеек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на начало и конец отчетного периода соответственно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Баланса (ф. 0503320)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связано с взаимоисключением расчетов по бюджетным кредитам по строкам 270 и 400 и отсутствием взаимоисключения долгосрочных расчетов по бюджетным кредитам 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 строкам 271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 401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86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Отчете об исполнении консолидированного бюджета субъекта Российской Федерации и бюджета территориального государственного внебюджетного фонда (ф. 0503317) (далее -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Отчет (ф. 0503317))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86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превышение фактического ис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олнения над бюджетными назначениями в сумме 20 115 046 рублей 73 копейки объясняется направлением 30 декабря 2025 года повторного подкрепления иного межбюджетного трансферта, передаваемого бюджетам муниципальных районов на оснащение оборудованием, мебелью,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инвентарем, средствами обучения и воспитания, а также оснащение библиотечного фонда муниципальных образовательных организаций,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при некорректном уточнени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 муниципальным районом кода цели по произведенным кассовым расходам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в сумме 21 000 000 рублей 00 копеек;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86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строке 981 «в том числе по видам выбытий: субсидии» графы 11 «Поступления – бюджеты сельских поселений» отражена горизонтальная субсидия из бюджета сельского поселения бюджету сельского поселения в су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мме 2 976 483 рубля 89 копеек;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86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отнесение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иных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межбюджетных трансфертов из областного бюджета бюджету муниципального округа на укрепление материально-технической базы образовательных организаций (код вида расходов 540 «Иные межбюджетные трансферты)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на код дохода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000 1 17 01040 14 0000 180 «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none"/>
          <w:lang w:eastAsia="en-US"/>
        </w:rPr>
        <w:t xml:space="preserve">Невыясненные поступления, зачисляемые в бюджеты муниципальных округов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в сумме</w:t>
        <w:br/>
        <w:t xml:space="preserve">197 000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рублей 00 копеек. Указанная сумма отражена в строке 904 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иные межбюджетные трансферты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по графе 5 «Поступления – бюджеты муниципальных округов»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Отчета (ф. 0503317)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также по строке 1201 «в том числе от невыясненных поступлений» 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онсолидированного отчета о движении денежных средств (ф.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0503323) (далее – Отчет (ф. 0503323)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86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Расхождения  показателей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Отчета (ф. 0503317)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Отчета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(ф.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0503323), Сведений по дебиторской и кредиторской задолженности (ф. 0503369) в части дебиторской задолженности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Справки (ф. 0503125)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сложились в результате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уточнения зачисленного в пос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ледних числах декабря 2024 года на код дохода 1 17 01010 01 6000 180 «Невыясненные поступления, зачисляемые в федеральный бюджет (федеральные государственные органы, Банк России, органы управления государственными внебюджетными фондами Российской Федерац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ии)» межбюджетного трансферта, передаваемого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соглашениями, на код дохода 000 202 40014 05 0000 150 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сумме 50 000 рублей 00 копеек.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Расхождение пок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азателей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Отчета (ф. 0503317)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и 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тчета (ф.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0503323)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на сумму 325 247 рублей 00 копеек сложилось в результате использования остатка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денежных средств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в кассе.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Сведениях по дебиторской и кредиторской задолженности (ф.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0503369) показатель дебиторской задолженности: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счету 1 205 51 000 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Расчеты по поступлениям текущего характера от других бюджетов бюджетной системы Российской Федерации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со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держит начисление доходов будущих перио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дов по предоставляемым в 2026 - 2028 годах межбюджетным трансфертам по кодам классификации доходов бюджетов, применяемым в 2026 и плановом периоде 2027 и 2028 годов согласно приказу Министерства финансов Российской Федерации от 1 декабря 2025 года № 171н 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 внесении изменений в приказ Министерства финансов Российской Федерации от 10 июня 2025 г. № 70н «Об утверждении кодов (перечней кодов) бюджетной классификации Российской Федерации на 2026 год (на 2026 год и на 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лановый период 2027 и 2028 годов)»;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счету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 1 210 12 000 «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Расчеты по НДС по приобретенным материальным ценностям, работам, услугам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» и коду вида расходов бюджета 247 «Закупка энергетических ресурсов» отражает не принятый НДС к вычету с затрат по поставке газа ООО «Газпром 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межрегионгаз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 Саратов». 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В связи с сезонной деятельностью МКУ «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Вольсктеплоэнерго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» в 3 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lang w:eastAsia="ru-RU"/>
        </w:rPr>
        <w:t xml:space="preserve">и 4 квартале 2025 года сумма НДС с выставленных счетов меньше суммы НДС с предъявленных к вычету.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счету 1 303 06 000 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Расчеты по страховым взносам на обязательное социальное страхование от несчастных случаев на производстве и профессиональных заболеваний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 в сумме 64 495 рублей 11 копеек отражает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суммы переплат по страховым взносам на обязательное социальное страхование от несчастных случаев на производстве и профессиональных заболеваний в связи с ошибочно начисленными взносами.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Сведениях по дебиторской и кредиторской задолженности (ф. 0503369) показатель кредиторской задолженности: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highlight w:val="none"/>
        </w:rPr>
        <w:t xml:space="preserve">о счету бюджетного учета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1 303 06 000 «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Расчеты по страховым взносам на обязательное социальное страхование от несчастных случаев на производстве и профессиональных заболеваний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»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highlight w:val="none"/>
        </w:rPr>
        <w:t xml:space="preserve"> по коду вида расходов бюджета 313  «Пособия, компенсации, меры социальной поддержки по публичным нормативным обязательствам» отражает задолженность по </w:t>
      </w:r>
      <w:r>
        <w:rPr>
          <w:rStyle w:val="904"/>
          <w:rFonts w:ascii="PT Astra Serif" w:hAnsi="PT Astra Serif" w:cs="PT Astra Serif"/>
          <w:b w:val="0"/>
          <w:bCs w:val="0"/>
          <w:i w:val="0"/>
          <w:iCs w:val="0"/>
          <w:color w:val="000000" w:themeColor="text1"/>
          <w:sz w:val="28"/>
          <w:szCs w:val="28"/>
          <w:highlight w:val="none"/>
        </w:rPr>
        <w:t xml:space="preserve">страховым взносам на обязательное социальное страхование от несчастных случаев на производстве и профессиональных заболеваний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highlight w:val="none"/>
        </w:rPr>
        <w:t xml:space="preserve">, производимые медицинскими организациями работникам в порядке оказания социальной поддержки. В соответствии с письмом Министерства финансов Ро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highlight w:val="none"/>
        </w:rPr>
        <w:t xml:space="preserve">ссийской Федерации от 9 сентября</w:t>
        <w:br/>
        <w:t xml:space="preserve">2020 года № 03-15-07/79024 указанные выплаты признаются объектом обложения страховыми взносами в общеустановленном порядке на основании пункта</w:t>
        <w:br/>
        <w:t xml:space="preserve">1 статьи 420 Налогового Кодекса Российской Федерации</w:t>
      </w:r>
      <w:r>
        <w:rPr>
          <w:rFonts w:ascii="PT Astra Serif" w:hAnsi="PT Astra Serif" w:eastAsia="PT Astra Serif" w:cs="PT Astra Serif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по налогу на доходы физических лиц не отнесен к просроченной задолженности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связи с начислением заработной платы за декабрь 202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года со сроком выплаты в январе 202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6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года.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Кредитовый остаток по единому налоговому платежу на начало 2025 года  в сумме 1 898 рублей 00 копеек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образовался в результате разбалансированности расчетов по кодам классификации 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асходов бюджетов бюджетной системы Российской Федерации в связи с перечислением денежных средств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с кодом целевой статьи, отличающимся от кода, указанного в уведомлении об исчисленном налоге на доходы физических лиц.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-55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Расхождения  по показателям Отчета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(ф. 0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503317),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Консолидированного отчета по поступлениям и выбытиям (ф. 05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03152)  сложились в результате: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-55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shd w:val="clear" w:color="auto" w:fill="ffffff"/>
          <w:lang w:eastAsia="ru-RU"/>
        </w:rPr>
        <w:t xml:space="preserve">остатка средств в пути на счете 1 201 23 000 «Денежные средства у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shd w:val="clear" w:color="auto" w:fill="ffffff"/>
          <w:lang w:eastAsia="ru-RU"/>
        </w:rPr>
        <w:t xml:space="preserve">чреждения в пути» по коду доходов бюджетов Российской Федерации </w:t>
        <w:br/>
        <w:t xml:space="preserve">000 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shd w:val="clear" w:color="auto" w:fill="ffffff"/>
          <w:lang w:eastAsia="ru-RU"/>
        </w:rPr>
        <w:t xml:space="preserve">1 13 01994 04 0000 130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shd w:val="clear" w:color="auto" w:fill="ffffff"/>
          <w:lang w:eastAsia="ru-RU"/>
        </w:rPr>
        <w:t xml:space="preserve"> «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shd w:val="clear" w:color="auto" w:fill="ffffff"/>
          <w:lang w:eastAsia="ru-RU"/>
        </w:rPr>
        <w:t xml:space="preserve">Прочие доходы от оказания платных услуг (работ) получателями средств бюджетов городских округов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shd w:val="clear" w:color="auto" w:fill="ffffff"/>
          <w:lang w:eastAsia="ru-RU"/>
        </w:rPr>
        <w:t xml:space="preserve">»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167 997 рублей 00 копеек </w:t>
      </w:r>
      <w:r>
        <w:rPr>
          <w:rFonts w:ascii="PT Astra Serif" w:hAnsi="PT Astra Serif" w:eastAsia="Times New Roman" w:cs="PT Astra Serif"/>
          <w:color w:val="000000" w:themeColor="text1"/>
          <w:sz w:val="28"/>
          <w:szCs w:val="28"/>
          <w:highlight w:val="none"/>
          <w:shd w:val="clear" w:color="auto" w:fill="ffffff"/>
          <w:lang w:eastAsia="ru-RU"/>
        </w:rPr>
        <w:t xml:space="preserve">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-55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отражения некассовой операции в части удержания из заработной платы командировочных расходо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в в сумме 600 рублей 00 копеек;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left="0" w:right="-55"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отражения сумм возвратов остатков межбюджетных трансфертов прошлых лет в составе кодов источников финансирования (в положител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ьном значении):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  <w:br/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000 01050201020000610 «Уменьшение прочих остатков денежных средств бюджетов субъектов Российской Федерации» в сумме 398 879 891 рубль 11 копеек, 000 01050201140000610 «Уменьшение прочих остатков денежных средств бюджетов муниципальных окр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у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гов» в сумме 36 465 рублей 54 копейки, </w:t>
        <w:br/>
        <w:t xml:space="preserve">000 01050201040000610 «Уменьшение прочих остатков денежных средств бюджетов городских округов» в сумме 46 445 343 рубля 59 копеек, </w:t>
        <w:br/>
        <w:t xml:space="preserve">000 01050201050000610 «Уменьшение прочих остатков денежных средств бюджетов муницип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альных районов» в сумме 118 257 103 рубля 34 копейки, </w:t>
        <w:br/>
        <w:t xml:space="preserve">000 01050201130000610 «Уменьшение прочих остатков денежных средств бюджетов городских поселений» в сумме 89 817 900 рублей 66 копеек, </w:t>
        <w:br/>
        <w:t xml:space="preserve">000 01050201100000610 «Уменьшение прочих остатков денежных средств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бюджетов сельских поселений» в сумме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8 754 425 рублей 06 копеек, </w:t>
        <w:br/>
        <w:t xml:space="preserve">000 01050201090000610 «Уменьшение прочих остатков денежных средств бюджетов территориальных фондов обязательного медицинского страхования» в сумме 754 547 541 рубль 36 копеек, при отражении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указанных сумм территориальными органами Федерального казначейства в составе  соответствующих кодов источников финансирования (в отрицательном значении): 000 01050201ХХ0000510 «Увеличение прочих остат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ков денежных средств бюджетов»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Расхождения показателей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Отчета (ф. 0503317)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правочной таблицы к отчету об исполнении консолидированного бюджета субъекта Российской Федераци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и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(ф. 0503387)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сложились в результате отражения расходов на осуществление воинского учета на территориях, где отсутствуют военные комиссариаты по стро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кам 00200, 00210, 00220, 00230, а так же по кодам строк 00800, 00801, 00802, 00803. Полномочия Российской Федерации на осуществление воинского учета на территориях, где отсутствуют структурные подразделения военных комиссариатов, передаются соответствующим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органам местного самоуправления поселений и органам местного самоуправления городских округов в соответствии со статьей 8 Федерального закона «О воинской обязанности и воинской службе». Органы местного самоуправления поселений и органы местного самоуправл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ения городских округов осуществляют первичный воинский учет граждан, проживающих или пребывающих на территориях указанных муниципальных образований. Работники, исполняющие указанные полномочия, состоят в штате администраций органов местного самоуправления.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Расходы на осуществление передаваемых полномочий на осуществление первичного воинского учета производятся за счет субвенций из федерального бюджета на указанные цели, поэтому 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Справочной таблице (ф.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0503387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)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отражены по кодам строк 00801 «фонд оплаты труда государственных (муниципальных) органов», 00802 «иные выплаты персоналу государственных (муниципальных) органов, за исключением фонда оплаты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труда», 00803 «взносы по обяз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ательному социальному страхованию на выплаты денежного содержания и иные выплаты работникам  государственных (муниципальных) органов» и в составе расходов на содержание органов местного самоуправления по кодам строк 00210 «фонд оплаты труда государственных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 (муниципальных) органов», 00220 «иные выплаты персоналу государственных (муниципальных) органов, за исключением фонда оплаты  труда», 00230 «взносы по обязательному социальному страхованию на выплаты денежного содержания и иные выплаты работникам  госуда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рственных  (муниципальных) органов».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Расшифровка вложений в разрезе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каждой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организации-эмитента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, отраженных в Сведениях о финансовых вложениях (ф. 0503371) по счету </w:t>
        <w:br/>
        <w:t xml:space="preserve">1 204 31 000 «Акции», сумма остатка по которому на конец отчетного периода составила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1 100 852 215,04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 рублей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t xml:space="preserve">: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sz w:val="14"/>
          <w:szCs w:val="14"/>
          <w:highlight w:val="none"/>
        </w:rPr>
        <w:suppressLineNumbers w:val="0"/>
      </w:pPr>
      <w:r>
        <w:rPr>
          <w:sz w:val="14"/>
          <w:szCs w:val="14"/>
          <w:highlight w:val="none"/>
        </w:rPr>
      </w:r>
      <w:r>
        <w:rPr>
          <w:rFonts w:ascii="PT Astra Serif" w:hAnsi="PT Astra Serif" w:cs="PT Astra Serif"/>
          <w:sz w:val="14"/>
          <w:szCs w:val="14"/>
          <w:highlight w:val="none"/>
        </w:rPr>
      </w:r>
      <w:r>
        <w:rPr>
          <w:highlight w:val="none"/>
        </w:rPr>
      </w:r>
    </w:p>
    <w:tbl>
      <w:tblPr>
        <w:tblStyle w:val="892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1276"/>
        <w:gridCol w:w="1559"/>
        <w:gridCol w:w="1771"/>
        <w:gridCol w:w="1772"/>
        <w:gridCol w:w="1701"/>
      </w:tblGrid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Сумма, руб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Эмитент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01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Наименование бюджета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5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4"/>
                <w:szCs w:val="24"/>
                <w:highlight w:val="none"/>
              </w:rPr>
              <w:t xml:space="preserve">ИНН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7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400 693 304,00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6451407103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Calibri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«КОРПОРАЦИЯ РАЗВИТИЯ САРАТОВСКОЙ ОБЛАСТИ»"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областной бюджет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  <w:r/>
            <w:r/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439 960 000,00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6455046176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«ГАРАНТИЙНЫЙ ФОНД ДЛЯ СУБЪЕКТОВ МАЛОГО ПРЕДПРИНИМАТЕЛЬСТВА САРАТОВСКОЙ ОБЛАСТИ»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88 904 662,40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6439064386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«ВОЛГА»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84 547 302,00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6454038461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КОММУНАЛЬНЫХ ЭЛЕКТРИЧЕСКИХ СЕТЕЙ САРАТОВСКОЙ ОБЛАСТИ «ОБЛКОММУНЭНЕРГО»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106 200,00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6417000029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«КРАСНОКУТСКАЯ АВТОБАЗА»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7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7 005 596,00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6451416933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«МЕЖГОРОДТРАНС»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6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356 787,00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6451417006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«ПАССАЖИРТРАНС-1»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8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5 208 147,60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6452076479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«ЦЕНТРАЛЬНАЯ ДИСПЕТЧЕРСКАЯ СЛУЖБА»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9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49 000,00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6452950802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«САРАТОВСКАЯ ПРИГОРОДНАЯ ПАССАЖИРСКАЯ КОМПАНИЯ»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3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Сумма, руб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/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Эмитент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/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4"/>
                <w:szCs w:val="24"/>
                <w:highlight w:val="none"/>
              </w:rPr>
              <w:t xml:space="preserve">Наименование бюджета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  <w:r/>
            <w:r/>
            <w:r/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rPr>
          <w:trHeight w:val="5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vMerge w:val="continue"/>
            <w:textDirection w:val="lrTb"/>
            <w:noWrap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4"/>
                <w:szCs w:val="24"/>
                <w:highlight w:val="none"/>
              </w:rPr>
              <w:t xml:space="preserve">ИНН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14 955 460,00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6452953031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«САРАТОВСКОЕ ОБЪЕДИНЕНИЕ АВТОВОКЗАЛОВ И АВТОСТАНЦИЙ»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областной бюджет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/>
            <w:r/>
            <w:r/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48 885 361,04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6413004858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Calibri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«САНАТОРИЙ-КУРОРТ ИМ. В. И. ЧАПАЕВА»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11 395,00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6451114530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Calibri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«САРАТОВГАЗ»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бюджет МО г. Саратов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25 700,00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6449018558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Calibri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КОНЦЕРН «АРТРОМЕД»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бюджет Энгельсского муниципаль-ного района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4 089 900,00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6449044773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Calibri" w:cs="PT Astra Serif"/>
                <w:color w:val="000000"/>
                <w:sz w:val="24"/>
                <w:szCs w:val="24"/>
                <w:highlight w:val="none"/>
              </w:rPr>
              <w:t xml:space="preserve">ОТКРЫТОЕ АКЦИОНЕРНОЕ ОБЩЕСТВО «ЕДИНЫЙ РАСЧЕТНО-КАССОВЫЙ ЦЕНТР»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72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6 053 400,00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highlight w:val="none"/>
              </w:rPr>
              <w:t xml:space="preserve">6449050255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102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PT Astra Serif" w:hAnsi="PT Astra Serif" w:cs="PT Astra Serif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Calibri" w:cs="PT Astra Serif"/>
                <w:color w:val="000000"/>
                <w:sz w:val="24"/>
                <w:szCs w:val="24"/>
                <w:highlight w:val="none"/>
              </w:rPr>
              <w:t xml:space="preserve">АКЦИОНЕРНОЕ ОБЩЕСТВО «АВТОКОЛОННА № 40»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jc w:val="both"/>
        <w:spacing w:line="240" w:lineRule="auto"/>
        <w:rPr>
          <w:rFonts w:ascii="PT Astra Serif" w:hAnsi="PT Astra Serif" w:cs="PT Astra Serif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Показатель графы 21 «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Кассовые расходы с начала реализации инвестиционного проекта – всего» Сведений о вложениях в объекты недвижимого имущества, объектах незавершенного строительства (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ф. 0503190) (далее – Сведения (ф. 0503190))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меньше показателя графы 20 «фактические (по счету 0106Х1000) на конец год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а» в связи с безвозмездной передачей фактических затрат от одного балансодержателя к другому с указанием фактических расходов (переданы показатели сформированных вложений в недвижимое имущество по акту приема-передачи НФА), без передачи показателей ранее п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роизведенных кассовых расходов (по акту приема-передачи НФА не передаются).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В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Сведениях (ф. 0503190)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сумма фактических расходов (в связке ИНН графа 2, учетный номер граф 5,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6) на начало года не соответствует показателям  предыдущего года (в связке ИНН графы 3, учетный номер граф 6, 7) в связи с изменением и (или) корректировкой данных по объектам (уточнение наименования объекта, ИНН учреждения, код объекта, кадастровый номер,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 сметная стоимость и т. д.) по причине исправления ошибок прошлых лет и приведения в соответствие учетного кода объекта графы 5,  с учетом требований Инструкции о порядке составления и представления годовой, квартальной и месячной отчетности об исполнении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бюджетов бюджетной системы Российской Федерации, утвержденной приказом Минфина России от 28 декабря 2010 г. </w:t>
        <w:br/>
        <w:t xml:space="preserve">№ 191н.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Согласно пункту 7 приказа Министерства финансов Российской Федерации от 28 декабря 2010 года № 191н «Об утверждении Инструкции о порядке сос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тавления и представления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обязательств.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Выявленные при инвентаризации расхождения между фактическим наличием объектов и данными регистров бухгалтерского учета отражены в бухгалтерском учете в установленном законодательством порядке.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0" w:lineRule="auto"/>
        <w:rPr>
          <w:rFonts w:ascii="PT Astra Serif" w:hAnsi="PT Astra Serif" w:cs="PT Astra Serif"/>
          <w:sz w:val="28"/>
          <w:szCs w:val="28"/>
          <w:highlight w:val="none"/>
        </w:rPr>
        <w:suppressLineNumbers w:val="0"/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В связи с отсутствием числового значения в составе бюджетной отчетности об исполнении консолидированного бюджета субъекта Российской Федерации за отчетный период не представлена Справка по консолидируемым расчетам </w:t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  <w:t xml:space="preserve">(ф. 0503125) по счетам </w:t>
      </w:r>
      <w:r>
        <w:rPr>
          <w:rFonts w:ascii="PT Astra Serif" w:hAnsi="PT Astra Serif" w:cs="PT Astra Serif"/>
          <w:sz w:val="28"/>
          <w:szCs w:val="28"/>
          <w:highlight w:val="none"/>
        </w:rPr>
        <w:t xml:space="preserve">1 206 51 000, 1 206 54 000, 1 206 54 561, 1 206 54 661, </w:t>
        <w:br/>
        <w:t xml:space="preserve">1 302 51 000, 1 302 54 000, 1 302 54 831, 1 301 21 000, 1 301 21 710, 1 301 31 000, 301 31 710, 301 31 810, 1 301 21 810, 1 401 10 189.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tbl>
      <w:tblPr>
        <w:tblStyle w:val="892"/>
        <w:tblpPr w:horzAnchor="margin" w:tblpXSpec="left" w:vertAnchor="text" w:tblpY="135" w:leftFromText="180" w:topFromText="0" w:rightFromText="180" w:bottomFromText="0"/>
        <w:tblW w:w="99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470"/>
        <w:gridCol w:w="2465"/>
      </w:tblGrid>
      <w:tr>
        <w:trPr>
          <w:trHeight w:val="1421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b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none"/>
              </w:rPr>
              <w:t xml:space="preserve">Министр финансов </w:t>
            </w:r>
            <w:r>
              <w:rPr>
                <w:rFonts w:ascii="PT Astra Serif" w:hAnsi="PT Astra Serif" w:cs="PT Astra Serif"/>
                <w:b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none"/>
              </w:rPr>
              <w:t xml:space="preserve">Саратовской области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465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И.С.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Бегинина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1909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Н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ачальник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 бюджетного</w:t>
              <w:br/>
              <w:t xml:space="preserve">управления министерства</w:t>
              <w:br/>
              <w:t xml:space="preserve">финансов Саратовской области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465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О.В. Петрова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997"/>
        </w:trPr>
        <w:tc>
          <w:tcPr>
            <w:tcW w:w="7470" w:type="dxa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Начальник управления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shd w:val="clear" w:color="auto" w:fill="ffffff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бюджетного учета и отчетности,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shd w:val="clear" w:color="auto" w:fill="ffffff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главный бухгалтер министерства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финансов Саратовской области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465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rFonts w:ascii="PT Astra Serif" w:hAnsi="PT Astra Serif" w:cs="PT Astra Serif"/>
                <w:b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b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  <w:t xml:space="preserve">С.В. Ананьева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rFonts w:ascii="PT Astra Serif" w:hAnsi="PT Astra Serif" w:cs="PT Astra Serif"/>
          <w:b/>
          <w:bCs/>
          <w:sz w:val="28"/>
          <w:szCs w:val="28"/>
          <w:highlight w:val="none"/>
        </w:rPr>
      </w:pPr>
      <w:r>
        <w:rPr>
          <w:rFonts w:ascii="PT Astra Serif" w:hAnsi="PT Astra Serif" w:cs="PT Astra Serif"/>
          <w:b/>
          <w:bCs/>
          <w:sz w:val="28"/>
          <w:szCs w:val="28"/>
          <w:highlight w:val="none"/>
        </w:rPr>
      </w:r>
      <w:r>
        <w:rPr>
          <w:rFonts w:ascii="PT Astra Serif" w:hAnsi="PT Astra Serif" w:cs="PT Astra Serif"/>
          <w:b/>
          <w:bCs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567"/>
        <w:jc w:val="both"/>
        <w:widowControl w:val="off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highlight w:val="none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851" w:right="680" w:bottom="567" w:left="1361" w:header="454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ansSerif">
    <w:panose1 w:val="02000603000000000000"/>
  </w:font>
  <w:font w:name="Wingdings">
    <w:panose1 w:val="05010000000000000000"/>
  </w:font>
  <w:font w:name="Tahoma">
    <w:panose1 w:val="020B0604030504040204"/>
  </w:font>
  <w:font w:name="Symbol">
    <w:panose1 w:val="05010000000000000000"/>
  </w:font>
  <w:font w:name="consultant">
    <w:panose1 w:val="02000603000000000000"/>
  </w:font>
  <w:font w:name="Courier New">
    <w:panose1 w:val="020703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70728670"/>
      <w:docPartObj>
        <w:docPartGallery w:val="Page Numbers (Top of Page)"/>
        <w:docPartUnique w:val="true"/>
      </w:docPartObj>
      <w:rPr/>
    </w:sdtPr>
    <w:sdtContent>
      <w:p>
        <w:pPr>
          <w:pStyle w:val="88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18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rPr>
        <w:rStyle w:val="891"/>
      </w:rPr>
      <w:framePr w:wrap="around" w:vAnchor="text" w:hAnchor="margin" w:xAlign="right" w:y="1"/>
    </w:pPr>
    <w:r>
      <w:rPr>
        <w:rStyle w:val="891"/>
      </w:rPr>
      <w:fldChar w:fldCharType="begin"/>
    </w:r>
    <w:r>
      <w:rPr>
        <w:rStyle w:val="891"/>
      </w:rPr>
      <w:instrText xml:space="preserve">PAGE  </w:instrText>
    </w:r>
    <w:r>
      <w:rPr>
        <w:rStyle w:val="891"/>
      </w:rPr>
      <w:fldChar w:fldCharType="separate"/>
    </w:r>
    <w:r>
      <w:rPr>
        <w:rStyle w:val="891"/>
      </w:rPr>
      <w:t xml:space="preserve">10</w:t>
    </w:r>
    <w:r>
      <w:rPr>
        <w:rStyle w:val="891"/>
      </w:rPr>
      <w:fldChar w:fldCharType="end"/>
    </w:r>
    <w:r>
      <w:rPr>
        <w:rStyle w:val="891"/>
      </w:rPr>
    </w:r>
    <w:r/>
  </w:p>
  <w:p>
    <w:pPr>
      <w:pStyle w:val="88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5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 w:default="1">
    <w:name w:val="Normal"/>
    <w:qFormat/>
    <w:rPr>
      <w:sz w:val="26"/>
    </w:rPr>
  </w:style>
  <w:style w:type="paragraph" w:styleId="678">
    <w:name w:val="Heading 1"/>
    <w:basedOn w:val="677"/>
    <w:next w:val="677"/>
    <w:link w:val="706"/>
    <w:qFormat/>
    <w:pPr>
      <w:keepNext/>
      <w:outlineLvl w:val="0"/>
    </w:pPr>
    <w:rPr>
      <w:b/>
    </w:rPr>
  </w:style>
  <w:style w:type="paragraph" w:styleId="679">
    <w:name w:val="Heading 2"/>
    <w:basedOn w:val="677"/>
    <w:next w:val="677"/>
    <w:link w:val="707"/>
    <w:qFormat/>
    <w:pPr>
      <w:jc w:val="both"/>
      <w:keepNext/>
      <w:outlineLvl w:val="1"/>
    </w:pPr>
    <w:rPr>
      <w:b/>
      <w:bCs/>
    </w:rPr>
  </w:style>
  <w:style w:type="paragraph" w:styleId="680">
    <w:name w:val="Heading 3"/>
    <w:basedOn w:val="677"/>
    <w:next w:val="677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1">
    <w:name w:val="Heading 4"/>
    <w:basedOn w:val="677"/>
    <w:next w:val="677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Cs w:val="26"/>
    </w:rPr>
  </w:style>
  <w:style w:type="paragraph" w:styleId="682">
    <w:name w:val="Heading 5"/>
    <w:basedOn w:val="677"/>
    <w:next w:val="677"/>
    <w:link w:val="7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677"/>
    <w:next w:val="677"/>
    <w:link w:val="7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677"/>
    <w:next w:val="677"/>
    <w:link w:val="7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677"/>
    <w:next w:val="677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677"/>
    <w:next w:val="677"/>
    <w:link w:val="7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character" w:styleId="690" w:customStyle="1">
    <w:name w:val="Heading 1 Char"/>
    <w:basedOn w:val="687"/>
    <w:uiPriority w:val="9"/>
    <w:rPr>
      <w:rFonts w:ascii="Arial" w:hAnsi="Arial" w:eastAsia="Arial" w:cs="Arial"/>
      <w:sz w:val="40"/>
      <w:szCs w:val="40"/>
    </w:rPr>
  </w:style>
  <w:style w:type="character" w:styleId="691" w:customStyle="1">
    <w:name w:val="Heading 2 Char"/>
    <w:basedOn w:val="687"/>
    <w:uiPriority w:val="9"/>
    <w:rPr>
      <w:rFonts w:ascii="Arial" w:hAnsi="Arial" w:eastAsia="Arial" w:cs="Arial"/>
      <w:sz w:val="34"/>
    </w:rPr>
  </w:style>
  <w:style w:type="character" w:styleId="692" w:customStyle="1">
    <w:name w:val="Heading 3 Char"/>
    <w:basedOn w:val="687"/>
    <w:uiPriority w:val="9"/>
    <w:rPr>
      <w:rFonts w:ascii="Arial" w:hAnsi="Arial" w:eastAsia="Arial" w:cs="Arial"/>
      <w:sz w:val="30"/>
      <w:szCs w:val="30"/>
    </w:rPr>
  </w:style>
  <w:style w:type="character" w:styleId="693" w:customStyle="1">
    <w:name w:val="Heading 4 Char"/>
    <w:basedOn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694" w:customStyle="1">
    <w:name w:val="Heading 5 Char"/>
    <w:basedOn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695" w:customStyle="1">
    <w:name w:val="Heading 6 Char"/>
    <w:basedOn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696" w:customStyle="1">
    <w:name w:val="Heading 7 Char"/>
    <w:basedOn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 w:customStyle="1">
    <w:name w:val="Heading 8 Char"/>
    <w:basedOn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98" w:customStyle="1">
    <w:name w:val="Heading 9 Char"/>
    <w:basedOn w:val="687"/>
    <w:uiPriority w:val="9"/>
    <w:rPr>
      <w:rFonts w:ascii="Arial" w:hAnsi="Arial" w:eastAsia="Arial" w:cs="Arial"/>
      <w:i/>
      <w:iCs/>
      <w:sz w:val="21"/>
      <w:szCs w:val="21"/>
    </w:rPr>
  </w:style>
  <w:style w:type="character" w:styleId="699" w:customStyle="1">
    <w:name w:val="Title Char"/>
    <w:basedOn w:val="687"/>
    <w:uiPriority w:val="10"/>
    <w:rPr>
      <w:sz w:val="48"/>
      <w:szCs w:val="48"/>
    </w:rPr>
  </w:style>
  <w:style w:type="character" w:styleId="700" w:customStyle="1">
    <w:name w:val="Subtitle Char"/>
    <w:basedOn w:val="687"/>
    <w:uiPriority w:val="11"/>
    <w:rPr>
      <w:sz w:val="24"/>
      <w:szCs w:val="24"/>
    </w:rPr>
  </w:style>
  <w:style w:type="character" w:styleId="701" w:customStyle="1">
    <w:name w:val="Quote Char"/>
    <w:uiPriority w:val="29"/>
    <w:rPr>
      <w:i/>
    </w:rPr>
  </w:style>
  <w:style w:type="character" w:styleId="702" w:customStyle="1">
    <w:name w:val="Intense Quote Char"/>
    <w:uiPriority w:val="30"/>
    <w:rPr>
      <w:i/>
    </w:rPr>
  </w:style>
  <w:style w:type="character" w:styleId="703" w:customStyle="1">
    <w:name w:val="Caption Char"/>
    <w:uiPriority w:val="99"/>
  </w:style>
  <w:style w:type="character" w:styleId="704" w:customStyle="1">
    <w:name w:val="Footnote Text Char"/>
    <w:uiPriority w:val="99"/>
    <w:rPr>
      <w:sz w:val="18"/>
    </w:rPr>
  </w:style>
  <w:style w:type="character" w:styleId="705" w:customStyle="1">
    <w:name w:val="Endnote Text Char"/>
    <w:uiPriority w:val="99"/>
    <w:rPr>
      <w:sz w:val="20"/>
    </w:rPr>
  </w:style>
  <w:style w:type="character" w:styleId="706" w:customStyle="1">
    <w:name w:val="Заголовок 1 Знак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707" w:customStyle="1">
    <w:name w:val="Заголовок 2 Знак"/>
    <w:basedOn w:val="687"/>
    <w:link w:val="679"/>
    <w:uiPriority w:val="9"/>
    <w:rPr>
      <w:rFonts w:ascii="Arial" w:hAnsi="Arial" w:eastAsia="Arial" w:cs="Arial"/>
      <w:sz w:val="34"/>
    </w:rPr>
  </w:style>
  <w:style w:type="character" w:styleId="708" w:customStyle="1">
    <w:name w:val="Заголовок 3 Знак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709" w:customStyle="1">
    <w:name w:val="Заголовок 4 Знак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710" w:customStyle="1">
    <w:name w:val="Заголовок 5 Знак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711" w:customStyle="1">
    <w:name w:val="Заголовок 6 Знак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712" w:customStyle="1">
    <w:name w:val="Заголовок 7 Знак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3" w:customStyle="1">
    <w:name w:val="Заголовок 8 Знак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714" w:customStyle="1">
    <w:name w:val="Заголовок 9 Знак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List Paragraph"/>
    <w:basedOn w:val="677"/>
    <w:uiPriority w:val="34"/>
    <w:qFormat/>
    <w:pPr>
      <w:contextualSpacing/>
      <w:ind w:left="720"/>
    </w:pPr>
  </w:style>
  <w:style w:type="paragraph" w:styleId="716">
    <w:name w:val="No Spacing"/>
    <w:uiPriority w:val="1"/>
    <w:qFormat/>
  </w:style>
  <w:style w:type="character" w:styleId="717" w:customStyle="1">
    <w:name w:val="Название Знак"/>
    <w:basedOn w:val="687"/>
    <w:link w:val="886"/>
    <w:uiPriority w:val="10"/>
    <w:rPr>
      <w:sz w:val="48"/>
      <w:szCs w:val="48"/>
    </w:rPr>
  </w:style>
  <w:style w:type="paragraph" w:styleId="718">
    <w:name w:val="Subtitle"/>
    <w:basedOn w:val="677"/>
    <w:next w:val="677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 w:customStyle="1">
    <w:name w:val="Подзаголовок Знак"/>
    <w:basedOn w:val="687"/>
    <w:link w:val="718"/>
    <w:uiPriority w:val="11"/>
    <w:rPr>
      <w:sz w:val="24"/>
      <w:szCs w:val="24"/>
    </w:rPr>
  </w:style>
  <w:style w:type="paragraph" w:styleId="720">
    <w:name w:val="Quote"/>
    <w:basedOn w:val="677"/>
    <w:next w:val="677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77"/>
    <w:next w:val="677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character" w:styleId="724" w:customStyle="1">
    <w:name w:val="Header Char"/>
    <w:basedOn w:val="687"/>
    <w:uiPriority w:val="99"/>
  </w:style>
  <w:style w:type="character" w:styleId="725" w:customStyle="1">
    <w:name w:val="Footer Char"/>
    <w:basedOn w:val="687"/>
    <w:uiPriority w:val="99"/>
  </w:style>
  <w:style w:type="paragraph" w:styleId="726">
    <w:name w:val="Caption"/>
    <w:basedOn w:val="677"/>
    <w:next w:val="677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 w:customStyle="1">
    <w:name w:val="Нижний колонтитул Знак"/>
    <w:link w:val="883"/>
    <w:uiPriority w:val="99"/>
  </w:style>
  <w:style w:type="table" w:styleId="728" w:customStyle="1">
    <w:name w:val="Table Grid Light"/>
    <w:basedOn w:val="68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 w:customStyle="1">
    <w:name w:val="Plain Table 1"/>
    <w:basedOn w:val="68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Plain Table 2"/>
    <w:basedOn w:val="68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Plain Table 3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Plain Table 4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Plain Table 5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1 Light"/>
    <w:basedOn w:val="68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68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68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68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68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68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68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2"/>
    <w:basedOn w:val="68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68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68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68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68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68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68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"/>
    <w:basedOn w:val="68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68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68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68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68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68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68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4"/>
    <w:basedOn w:val="68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688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7" w:customStyle="1">
    <w:name w:val="Grid Table 4 - Accent 2"/>
    <w:basedOn w:val="688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8" w:customStyle="1">
    <w:name w:val="Grid Table 4 - Accent 3"/>
    <w:basedOn w:val="688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9" w:customStyle="1">
    <w:name w:val="Grid Table 4 - Accent 4"/>
    <w:basedOn w:val="688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0" w:customStyle="1">
    <w:name w:val="Grid Table 4 - Accent 5"/>
    <w:basedOn w:val="688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1" w:customStyle="1">
    <w:name w:val="Grid Table 4 - Accent 6"/>
    <w:basedOn w:val="688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2" w:customStyle="1">
    <w:name w:val="Grid Table 5 Dark"/>
    <w:basedOn w:val="68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68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68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68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68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68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68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6 Colorful"/>
    <w:basedOn w:val="68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688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1" w:customStyle="1">
    <w:name w:val="Grid Table 6 Colorful - Accent 2"/>
    <w:basedOn w:val="68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2" w:customStyle="1">
    <w:name w:val="Grid Table 6 Colorful - Accent 3"/>
    <w:basedOn w:val="688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3" w:customStyle="1">
    <w:name w:val="Grid Table 6 Colorful - Accent 4"/>
    <w:basedOn w:val="68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4" w:customStyle="1">
    <w:name w:val="Grid Table 6 Colorful - Accent 5"/>
    <w:basedOn w:val="688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5" w:customStyle="1">
    <w:name w:val="Grid Table 6 Colorful - Accent 6"/>
    <w:basedOn w:val="688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6" w:customStyle="1">
    <w:name w:val="Grid Table 7 Colorful"/>
    <w:basedOn w:val="68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1"/>
    <w:basedOn w:val="688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2"/>
    <w:basedOn w:val="68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3"/>
    <w:basedOn w:val="68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4"/>
    <w:basedOn w:val="68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5"/>
    <w:basedOn w:val="688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6"/>
    <w:basedOn w:val="688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68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2"/>
    <w:basedOn w:val="68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68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68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68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68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68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68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List Table 3"/>
    <w:basedOn w:val="68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68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68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68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68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68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68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"/>
    <w:basedOn w:val="68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68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68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68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68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68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68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5 Dark"/>
    <w:basedOn w:val="68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688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68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68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68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68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68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6 Colorful"/>
    <w:basedOn w:val="68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68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0" w:customStyle="1">
    <w:name w:val="List Table 6 Colorful - Accent 2"/>
    <w:basedOn w:val="68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1" w:customStyle="1">
    <w:name w:val="List Table 6 Colorful - Accent 3"/>
    <w:basedOn w:val="68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2" w:customStyle="1">
    <w:name w:val="List Table 6 Colorful - Accent 4"/>
    <w:basedOn w:val="68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3" w:customStyle="1">
    <w:name w:val="List Table 6 Colorful - Accent 5"/>
    <w:basedOn w:val="68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4" w:customStyle="1">
    <w:name w:val="List Table 6 Colorful - Accent 6"/>
    <w:basedOn w:val="68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5" w:customStyle="1">
    <w:name w:val="List Table 7 Colorful"/>
    <w:basedOn w:val="68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1"/>
    <w:basedOn w:val="688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2"/>
    <w:basedOn w:val="688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3"/>
    <w:basedOn w:val="688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4"/>
    <w:basedOn w:val="688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5"/>
    <w:basedOn w:val="688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6"/>
    <w:basedOn w:val="688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ned - Accent"/>
    <w:basedOn w:val="68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33" w:customStyle="1">
    <w:name w:val="Lined - Accent 1"/>
    <w:basedOn w:val="68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34" w:customStyle="1">
    <w:name w:val="Lined - Accent 2"/>
    <w:basedOn w:val="68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35" w:customStyle="1">
    <w:name w:val="Lined - Accent 3"/>
    <w:basedOn w:val="68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36" w:customStyle="1">
    <w:name w:val="Lined - Accent 4"/>
    <w:basedOn w:val="68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37" w:customStyle="1">
    <w:name w:val="Lined - Accent 5"/>
    <w:basedOn w:val="68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38" w:customStyle="1">
    <w:name w:val="Lined - Accent 6"/>
    <w:basedOn w:val="68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39" w:customStyle="1">
    <w:name w:val="Bordered &amp; Lined - Accent"/>
    <w:basedOn w:val="68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40" w:customStyle="1">
    <w:name w:val="Bordered &amp; Lined - Accent 1"/>
    <w:basedOn w:val="68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41" w:customStyle="1">
    <w:name w:val="Bordered &amp; Lined - Accent 2"/>
    <w:basedOn w:val="68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42" w:customStyle="1">
    <w:name w:val="Bordered &amp; Lined - Accent 3"/>
    <w:basedOn w:val="68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43" w:customStyle="1">
    <w:name w:val="Bordered &amp; Lined - Accent 4"/>
    <w:basedOn w:val="68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44" w:customStyle="1">
    <w:name w:val="Bordered &amp; Lined - Accent 5"/>
    <w:basedOn w:val="68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45" w:customStyle="1">
    <w:name w:val="Bordered &amp; Lined - Accent 6"/>
    <w:basedOn w:val="68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46" w:customStyle="1">
    <w:name w:val="Bordered"/>
    <w:basedOn w:val="68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68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8" w:customStyle="1">
    <w:name w:val="Bordered - Accent 2"/>
    <w:basedOn w:val="68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9" w:customStyle="1">
    <w:name w:val="Bordered - Accent 3"/>
    <w:basedOn w:val="68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0" w:customStyle="1">
    <w:name w:val="Bordered - Accent 4"/>
    <w:basedOn w:val="68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1" w:customStyle="1">
    <w:name w:val="Bordered - Accent 5"/>
    <w:basedOn w:val="68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2" w:customStyle="1">
    <w:name w:val="Bordered - Accent 6"/>
    <w:basedOn w:val="68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3">
    <w:name w:val="footnote text"/>
    <w:basedOn w:val="677"/>
    <w:link w:val="854"/>
    <w:uiPriority w:val="99"/>
    <w:semiHidden/>
    <w:unhideWhenUsed/>
    <w:pPr>
      <w:spacing w:after="40"/>
    </w:pPr>
    <w:rPr>
      <w:sz w:val="18"/>
    </w:rPr>
  </w:style>
  <w:style w:type="character" w:styleId="854" w:customStyle="1">
    <w:name w:val="Текст сноски Знак"/>
    <w:link w:val="853"/>
    <w:uiPriority w:val="99"/>
    <w:rPr>
      <w:sz w:val="18"/>
    </w:rPr>
  </w:style>
  <w:style w:type="character" w:styleId="855">
    <w:name w:val="footnote reference"/>
    <w:basedOn w:val="687"/>
    <w:uiPriority w:val="99"/>
    <w:unhideWhenUsed/>
    <w:rPr>
      <w:vertAlign w:val="superscript"/>
    </w:rPr>
  </w:style>
  <w:style w:type="paragraph" w:styleId="856">
    <w:name w:val="endnote text"/>
    <w:basedOn w:val="677"/>
    <w:link w:val="857"/>
    <w:uiPriority w:val="99"/>
    <w:semiHidden/>
    <w:unhideWhenUsed/>
    <w:rPr>
      <w:sz w:val="20"/>
    </w:rPr>
  </w:style>
  <w:style w:type="character" w:styleId="857" w:customStyle="1">
    <w:name w:val="Текст концевой сноски Знак"/>
    <w:link w:val="856"/>
    <w:uiPriority w:val="99"/>
    <w:rPr>
      <w:sz w:val="20"/>
    </w:rPr>
  </w:style>
  <w:style w:type="character" w:styleId="858">
    <w:name w:val="endnote reference"/>
    <w:basedOn w:val="687"/>
    <w:uiPriority w:val="99"/>
    <w:semiHidden/>
    <w:unhideWhenUsed/>
    <w:rPr>
      <w:vertAlign w:val="superscript"/>
    </w:rPr>
  </w:style>
  <w:style w:type="paragraph" w:styleId="859">
    <w:name w:val="toc 1"/>
    <w:basedOn w:val="677"/>
    <w:next w:val="677"/>
    <w:uiPriority w:val="39"/>
    <w:unhideWhenUsed/>
    <w:pPr>
      <w:spacing w:after="57"/>
    </w:pPr>
  </w:style>
  <w:style w:type="paragraph" w:styleId="860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861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862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863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864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865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866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867">
    <w:name w:val="toc 9"/>
    <w:basedOn w:val="677"/>
    <w:next w:val="677"/>
    <w:uiPriority w:val="39"/>
    <w:unhideWhenUsed/>
    <w:pPr>
      <w:ind w:left="2268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677"/>
    <w:next w:val="677"/>
    <w:uiPriority w:val="99"/>
    <w:unhideWhenUsed/>
  </w:style>
  <w:style w:type="paragraph" w:styleId="870" w:customStyle="1">
    <w:name w:val="заголовок 1"/>
    <w:basedOn w:val="677"/>
    <w:next w:val="877"/>
    <w:pPr>
      <w:jc w:val="center"/>
      <w:keepLines/>
      <w:keepNext/>
      <w:spacing w:before="480"/>
    </w:pPr>
    <w:rPr>
      <w:rFonts w:ascii="Arial" w:hAnsi="Arial"/>
      <w:b/>
      <w:caps/>
      <w:sz w:val="32"/>
    </w:rPr>
  </w:style>
  <w:style w:type="paragraph" w:styleId="871" w:customStyle="1">
    <w:name w:val="заголовок 2"/>
    <w:basedOn w:val="677"/>
    <w:next w:val="881"/>
    <w:pPr>
      <w:jc w:val="center"/>
      <w:keepLines/>
      <w:keepNext/>
      <w:spacing w:before="480"/>
    </w:pPr>
    <w:rPr>
      <w:rFonts w:ascii="Arial" w:hAnsi="Arial"/>
      <w:b/>
      <w:caps/>
      <w:sz w:val="28"/>
    </w:rPr>
  </w:style>
  <w:style w:type="paragraph" w:styleId="872" w:customStyle="1">
    <w:name w:val="заголовок 3"/>
    <w:basedOn w:val="677"/>
    <w:next w:val="677"/>
    <w:pPr>
      <w:ind w:firstLine="709"/>
      <w:jc w:val="both"/>
      <w:keepNext/>
      <w:spacing w:before="240" w:after="60" w:line="348" w:lineRule="auto"/>
    </w:pPr>
    <w:rPr>
      <w:rFonts w:ascii="Arial" w:hAnsi="Arial"/>
      <w:sz w:val="24"/>
    </w:rPr>
  </w:style>
  <w:style w:type="paragraph" w:styleId="873" w:customStyle="1">
    <w:name w:val="заголовок 4"/>
    <w:basedOn w:val="677"/>
    <w:next w:val="677"/>
    <w:pPr>
      <w:jc w:val="both"/>
      <w:keepNext/>
      <w:outlineLvl w:val="3"/>
    </w:pPr>
    <w:rPr>
      <w:b/>
      <w:sz w:val="28"/>
    </w:rPr>
  </w:style>
  <w:style w:type="character" w:styleId="874" w:customStyle="1">
    <w:name w:val="Основной шрифт"/>
  </w:style>
  <w:style w:type="paragraph" w:styleId="875" w:customStyle="1">
    <w:name w:val="текст сноски"/>
    <w:basedOn w:val="677"/>
    <w:pPr>
      <w:ind w:left="142" w:hanging="142"/>
      <w:jc w:val="both"/>
      <w:keepLines/>
      <w:spacing w:line="288" w:lineRule="auto"/>
    </w:pPr>
    <w:rPr>
      <w:sz w:val="28"/>
    </w:rPr>
  </w:style>
  <w:style w:type="paragraph" w:styleId="876" w:customStyle="1">
    <w:name w:val="Должность"/>
    <w:basedOn w:val="677"/>
    <w:next w:val="878"/>
    <w:pPr>
      <w:keepLines/>
      <w:keepNext/>
      <w:spacing w:before="180"/>
      <w:tabs>
        <w:tab w:val="left" w:pos="284" w:leader="none"/>
      </w:tabs>
    </w:pPr>
    <w:rPr>
      <w:rFonts w:ascii="Arial" w:hAnsi="Arial"/>
      <w:spacing w:val="-4"/>
      <w:sz w:val="24"/>
    </w:rPr>
  </w:style>
  <w:style w:type="paragraph" w:styleId="877" w:customStyle="1">
    <w:name w:val="Код"/>
    <w:basedOn w:val="870"/>
    <w:next w:val="871"/>
    <w:pPr>
      <w:spacing w:before="0"/>
    </w:pPr>
    <w:rPr>
      <w:caps w:val="0"/>
      <w:spacing w:val="10"/>
      <w:sz w:val="28"/>
    </w:rPr>
  </w:style>
  <w:style w:type="paragraph" w:styleId="878" w:customStyle="1">
    <w:name w:val="ФИО"/>
    <w:basedOn w:val="677"/>
    <w:next w:val="876"/>
    <w:pPr>
      <w:keepLines/>
      <w:tabs>
        <w:tab w:val="left" w:pos="284" w:leader="none"/>
        <w:tab w:val="left" w:pos="5670" w:leader="none"/>
        <w:tab w:val="left" w:pos="7513" w:leader="none"/>
      </w:tabs>
    </w:pPr>
    <w:rPr>
      <w:rFonts w:ascii="Arial" w:hAnsi="Arial"/>
      <w:sz w:val="24"/>
    </w:rPr>
  </w:style>
  <w:style w:type="paragraph" w:styleId="879" w:customStyle="1">
    <w:name w:val="оглл"/>
    <w:basedOn w:val="880"/>
    <w:pPr>
      <w:jc w:val="center"/>
      <w:spacing w:after="120"/>
    </w:pPr>
    <w:rPr>
      <w:rFonts w:ascii="Times New Roman" w:hAnsi="Times New Roman"/>
      <w:caps/>
      <w:spacing w:val="30"/>
      <w:sz w:val="36"/>
    </w:rPr>
  </w:style>
  <w:style w:type="paragraph" w:styleId="880" w:customStyle="1">
    <w:name w:val="оглавление 1"/>
    <w:basedOn w:val="677"/>
    <w:next w:val="677"/>
    <w:pPr>
      <w:jc w:val="both"/>
      <w:spacing w:line="264" w:lineRule="auto"/>
      <w:tabs>
        <w:tab w:val="right" w:pos="9355" w:leader="dot"/>
      </w:tabs>
    </w:pPr>
    <w:rPr>
      <w:rFonts w:ascii="Arial" w:hAnsi="Arial"/>
      <w:b/>
      <w:sz w:val="28"/>
    </w:rPr>
  </w:style>
  <w:style w:type="paragraph" w:styleId="881" w:customStyle="1">
    <w:name w:val="Поселки"/>
    <w:basedOn w:val="872"/>
    <w:next w:val="876"/>
    <w:pPr>
      <w:ind w:firstLine="0"/>
      <w:jc w:val="center"/>
      <w:spacing w:before="0" w:after="120" w:line="240" w:lineRule="auto"/>
    </w:pPr>
    <w:rPr>
      <w:sz w:val="20"/>
    </w:rPr>
  </w:style>
  <w:style w:type="paragraph" w:styleId="882">
    <w:name w:val="Header"/>
    <w:basedOn w:val="677"/>
    <w:link w:val="903"/>
    <w:uiPriority w:val="99"/>
    <w:pPr>
      <w:ind w:firstLine="709"/>
      <w:jc w:val="both"/>
      <w:spacing w:line="348" w:lineRule="auto"/>
      <w:tabs>
        <w:tab w:val="center" w:pos="4153" w:leader="none"/>
        <w:tab w:val="right" w:pos="8306" w:leader="none"/>
      </w:tabs>
    </w:pPr>
    <w:rPr>
      <w:sz w:val="28"/>
    </w:rPr>
  </w:style>
  <w:style w:type="paragraph" w:styleId="883">
    <w:name w:val="Footer"/>
    <w:basedOn w:val="677"/>
    <w:link w:val="727"/>
    <w:pPr>
      <w:ind w:firstLine="709"/>
      <w:jc w:val="both"/>
      <w:spacing w:line="348" w:lineRule="auto"/>
      <w:tabs>
        <w:tab w:val="center" w:pos="4153" w:leader="none"/>
        <w:tab w:val="right" w:pos="8306" w:leader="none"/>
      </w:tabs>
    </w:pPr>
    <w:rPr>
      <w:sz w:val="28"/>
    </w:rPr>
  </w:style>
  <w:style w:type="paragraph" w:styleId="884" w:customStyle="1">
    <w:name w:val="Heading"/>
    <w:rPr>
      <w:b/>
      <w:sz w:val="24"/>
    </w:rPr>
  </w:style>
  <w:style w:type="paragraph" w:styleId="885" w:customStyle="1">
    <w:name w:val="Preformat"/>
    <w:rPr>
      <w:rFonts w:ascii="Courier New" w:hAnsi="Courier New"/>
    </w:rPr>
  </w:style>
  <w:style w:type="paragraph" w:styleId="886">
    <w:name w:val="Title"/>
    <w:basedOn w:val="677"/>
    <w:link w:val="717"/>
    <w:qFormat/>
    <w:pPr>
      <w:ind w:firstLine="142"/>
      <w:jc w:val="center"/>
    </w:pPr>
    <w:rPr>
      <w:b/>
      <w:sz w:val="28"/>
    </w:rPr>
  </w:style>
  <w:style w:type="paragraph" w:styleId="887">
    <w:name w:val="Body Text Indent"/>
    <w:basedOn w:val="677"/>
    <w:pPr>
      <w:ind w:firstLine="5670"/>
    </w:pPr>
    <w:rPr>
      <w:b/>
    </w:rPr>
  </w:style>
  <w:style w:type="paragraph" w:styleId="888">
    <w:name w:val="List"/>
    <w:basedOn w:val="677"/>
    <w:rPr>
      <w:rFonts w:ascii="Arial" w:hAnsi="Arial"/>
      <w:i/>
      <w:sz w:val="20"/>
    </w:rPr>
  </w:style>
  <w:style w:type="paragraph" w:styleId="889">
    <w:name w:val="Body Text"/>
    <w:basedOn w:val="677"/>
    <w:pPr>
      <w:jc w:val="both"/>
    </w:pPr>
  </w:style>
  <w:style w:type="paragraph" w:styleId="890" w:customStyle="1">
    <w:name w:val="Nonformat"/>
    <w:basedOn w:val="677"/>
    <w:rPr>
      <w:rFonts w:ascii="consultant" w:hAnsi="consultant"/>
      <w:sz w:val="20"/>
    </w:rPr>
  </w:style>
  <w:style w:type="character" w:styleId="891">
    <w:name w:val="page number"/>
    <w:basedOn w:val="687"/>
  </w:style>
  <w:style w:type="table" w:styleId="892">
    <w:name w:val="Table Grid"/>
    <w:basedOn w:val="688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3">
    <w:name w:val="Body Text 2"/>
    <w:basedOn w:val="677"/>
    <w:pPr>
      <w:jc w:val="center"/>
      <w:spacing w:line="348" w:lineRule="auto"/>
    </w:pPr>
    <w:rPr>
      <w:sz w:val="24"/>
    </w:rPr>
  </w:style>
  <w:style w:type="paragraph" w:styleId="894">
    <w:name w:val="Balloon Text"/>
    <w:basedOn w:val="677"/>
    <w:semiHidden/>
    <w:rPr>
      <w:rFonts w:ascii="Tahoma" w:hAnsi="Tahoma" w:cs="Tahoma"/>
      <w:sz w:val="16"/>
      <w:szCs w:val="16"/>
    </w:rPr>
  </w:style>
  <w:style w:type="paragraph" w:styleId="89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896">
    <w:name w:val="Body Text Indent 2"/>
    <w:basedOn w:val="677"/>
    <w:pPr>
      <w:ind w:left="283"/>
      <w:spacing w:after="120" w:line="480" w:lineRule="auto"/>
    </w:pPr>
  </w:style>
  <w:style w:type="paragraph" w:styleId="897" w:customStyle="1">
    <w:name w:val="ConsPlusTitle"/>
    <w:pPr>
      <w:widowControl w:val="off"/>
    </w:pPr>
    <w:rPr>
      <w:b/>
      <w:bCs/>
      <w:sz w:val="28"/>
      <w:szCs w:val="28"/>
    </w:rPr>
  </w:style>
  <w:style w:type="paragraph" w:styleId="898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899">
    <w:name w:val="Hyperlink"/>
    <w:basedOn w:val="687"/>
    <w:rPr>
      <w:color w:val="0000ff"/>
      <w:u w:val="single"/>
    </w:rPr>
  </w:style>
  <w:style w:type="paragraph" w:styleId="900" w:customStyle="1">
    <w:name w:val="ConsPlusCell"/>
    <w:uiPriority w:val="99"/>
    <w:rPr>
      <w:rFonts w:eastAsiaTheme="minorHAnsi"/>
      <w:sz w:val="28"/>
      <w:szCs w:val="28"/>
      <w:lang w:eastAsia="en-US"/>
    </w:rPr>
  </w:style>
  <w:style w:type="paragraph" w:styleId="901">
    <w:name w:val="Normal (Web)"/>
    <w:basedOn w:val="67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02" w:customStyle="1">
    <w:name w:val="Standard"/>
    <w:rPr>
      <w:sz w:val="26"/>
    </w:rPr>
  </w:style>
  <w:style w:type="character" w:styleId="903" w:customStyle="1">
    <w:name w:val="Верхний колонтитул Знак"/>
    <w:basedOn w:val="687"/>
    <w:link w:val="882"/>
    <w:uiPriority w:val="99"/>
    <w:rPr>
      <w:sz w:val="28"/>
    </w:rPr>
  </w:style>
  <w:style w:type="character" w:styleId="904" w:customStyle="1">
    <w:name w:val="span-8-c"/>
    <w:rPr>
      <w:rFonts w:ascii="Times New Roman" w:hAnsi="Times New Roman" w:eastAsia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5154F-C736-42AC-9659-16D85409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Elcom Ltd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ппррррфР</dc:title>
  <dc:creator>Гуреева</dc:creator>
  <cp:revision>85</cp:revision>
  <dcterms:created xsi:type="dcterms:W3CDTF">2021-03-31T08:41:00Z</dcterms:created>
  <dcterms:modified xsi:type="dcterms:W3CDTF">2026-03-26T15:15:11Z</dcterms:modified>
</cp:coreProperties>
</file>